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2CE8" w14:textId="77777777" w:rsidR="007C108A" w:rsidRPr="007C108A" w:rsidRDefault="007C108A" w:rsidP="007C108A">
      <w:pPr>
        <w:spacing w:line="360" w:lineRule="auto"/>
        <w:jc w:val="left"/>
        <w:rPr>
          <w:rFonts w:ascii="Times New Roman" w:hAnsi="Times New Roman" w:cs="Times New Roman"/>
          <w:b/>
          <w:sz w:val="24"/>
          <w:lang w:eastAsia="ja-JP"/>
        </w:rPr>
      </w:pPr>
      <w:r w:rsidRPr="007C108A">
        <w:rPr>
          <w:rFonts w:ascii="Times New Roman" w:hAnsi="Times New Roman" w:cs="Times New Roman"/>
          <w:b/>
          <w:sz w:val="24"/>
          <w:lang w:eastAsia="ja-JP"/>
        </w:rPr>
        <w:t>Corticosteroids for hospitalized patients with mild to critically-ill COVID-19: A multicenter, retrospective, propensity score–matched study</w:t>
      </w:r>
    </w:p>
    <w:p w14:paraId="03E99255" w14:textId="77777777" w:rsidR="007C108A" w:rsidRPr="007C108A" w:rsidRDefault="007C108A" w:rsidP="007C108A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</w:p>
    <w:p w14:paraId="4055396F" w14:textId="093A1E34" w:rsidR="007C108A" w:rsidRPr="007C108A" w:rsidRDefault="007C108A" w:rsidP="007C108A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 w:rsidRPr="007C108A">
        <w:rPr>
          <w:rFonts w:ascii="Times New Roman" w:hAnsi="Times New Roman" w:cs="Times New Roman"/>
          <w:sz w:val="24"/>
          <w:lang w:eastAsia="ja-JP"/>
        </w:rPr>
        <w:t xml:space="preserve">Satoshi Ikeda, Toshihiro Misumi,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Shinyu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Izumi, Keita Sakamoto, Naoki Nishimura, Shosei Ro, Koichi Fukunaga, Satoshi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Okamori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Natsuo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Tachikawa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Nobuyuki Miyata, Masaharu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Shinkai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Masahiro Shinoda,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Yasunari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Miyazaki, Yuki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Iijima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Takehiro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Izumo, Minoru Inomata, Masaki Okamoto, Tomoyoshi Yamaguchi, Keisuke Iwabuchi, Makoto Masuda, Hiroyuki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Takoi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Yoshitaka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Oyamada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Shigeki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Fujitani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Masamichi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Mineshita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</w:t>
      </w:r>
      <w:proofErr w:type="spellStart"/>
      <w:r w:rsidRPr="007C108A">
        <w:rPr>
          <w:rFonts w:ascii="Times New Roman" w:hAnsi="Times New Roman" w:cs="Times New Roman" w:hint="eastAsia"/>
          <w:sz w:val="24"/>
          <w:lang w:eastAsia="ja-JP"/>
        </w:rPr>
        <w:t>Haruyuki</w:t>
      </w:r>
      <w:proofErr w:type="spellEnd"/>
      <w:r w:rsidRPr="007C108A">
        <w:rPr>
          <w:rFonts w:ascii="Times New Roman" w:hAnsi="Times New Roman" w:cs="Times New Roman" w:hint="eastAsia"/>
          <w:sz w:val="24"/>
          <w:lang w:eastAsia="ja-JP"/>
        </w:rPr>
        <w:t xml:space="preserve"> Ishii</w:t>
      </w:r>
      <w:r w:rsidRPr="007C108A">
        <w:rPr>
          <w:rFonts w:ascii="Times New Roman" w:hAnsi="Times New Roman" w:cs="Times New Roman"/>
          <w:sz w:val="24"/>
          <w:lang w:eastAsia="ja-JP"/>
        </w:rPr>
        <w:t xml:space="preserve">, Atsushi Nakagawa,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Nobuhiro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Yamaguchi, Makoto Hibino, Kenji Tsushima, Yasuhiro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Norisue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Satoru Ishikawa,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Nobuhisa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Ishikawa, Yasuhiro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Kondoh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Yoshitaka Yamazaki, Kyoko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Gocho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Tomotaka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Nishizawa,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Akifumi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Tsuzuku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, Kazuma Yagi,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Yuichiro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7C108A">
        <w:rPr>
          <w:rFonts w:ascii="Times New Roman" w:hAnsi="Times New Roman" w:cs="Times New Roman"/>
          <w:sz w:val="24"/>
          <w:lang w:eastAsia="ja-JP"/>
        </w:rPr>
        <w:t>Shindo</w:t>
      </w:r>
      <w:proofErr w:type="spellEnd"/>
      <w:r w:rsidRPr="007C108A">
        <w:rPr>
          <w:rFonts w:ascii="Times New Roman" w:hAnsi="Times New Roman" w:cs="Times New Roman"/>
          <w:sz w:val="24"/>
          <w:lang w:eastAsia="ja-JP"/>
        </w:rPr>
        <w:t>, Yuriko Takeda, Takeharu Yamanaka, and Takashi Ogura</w:t>
      </w:r>
    </w:p>
    <w:p w14:paraId="7794F99C" w14:textId="1165130E" w:rsidR="007C108A" w:rsidRPr="00B0257F" w:rsidRDefault="007C108A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lang w:eastAsia="ja-JP"/>
        </w:rPr>
        <w:br w:type="page"/>
      </w:r>
      <w:r w:rsidR="005802F6" w:rsidRPr="00B0257F">
        <w:rPr>
          <w:rFonts w:ascii="Times New Roman" w:hAnsi="Times New Roman" w:cs="Times New Roman" w:hint="eastAsia"/>
          <w:b/>
          <w:bCs/>
          <w:sz w:val="24"/>
          <w:lang w:eastAsia="ja-JP"/>
        </w:rPr>
        <w:lastRenderedPageBreak/>
        <w:t>S</w:t>
      </w:r>
      <w:r w:rsidR="005802F6" w:rsidRPr="00B0257F">
        <w:rPr>
          <w:rFonts w:ascii="Times New Roman" w:hAnsi="Times New Roman" w:cs="Times New Roman"/>
          <w:b/>
          <w:bCs/>
          <w:sz w:val="24"/>
          <w:lang w:eastAsia="ja-JP"/>
        </w:rPr>
        <w:t>UPPLEMENTAL MATERIALS</w:t>
      </w:r>
    </w:p>
    <w:p w14:paraId="01235D2A" w14:textId="7A61CCD7" w:rsidR="00253BFE" w:rsidRDefault="000E5E7B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Supplemental </w:t>
      </w:r>
      <w:r w:rsidR="005802F6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Table</w:t>
      </w:r>
      <w:r w:rsidR="003166BA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802F6" w:rsidRPr="00B0257F">
        <w:rPr>
          <w:rFonts w:ascii="Times New Roman" w:hAnsi="Times New Roman" w:cs="Times New Roman"/>
          <w:b/>
          <w:bCs/>
          <w:sz w:val="24"/>
          <w:lang w:eastAsia="ja-JP"/>
        </w:rPr>
        <w:t xml:space="preserve">1. </w:t>
      </w:r>
      <w:r w:rsidR="005802F6" w:rsidRPr="007C108A">
        <w:rPr>
          <w:rFonts w:ascii="Times New Roman" w:hAnsi="Times New Roman"/>
          <w:b/>
          <w:bCs/>
          <w:sz w:val="24"/>
        </w:rPr>
        <w:t xml:space="preserve">Baseline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>Characteristics</w:t>
      </w:r>
      <w:r w:rsidR="005802F6" w:rsidRPr="007C108A">
        <w:rPr>
          <w:rFonts w:ascii="Times New Roman" w:hAnsi="Times New Roman"/>
          <w:b/>
          <w:bCs/>
          <w:sz w:val="24"/>
        </w:rPr>
        <w:t xml:space="preserve"> of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>the Overall Study Population</w:t>
      </w:r>
    </w:p>
    <w:tbl>
      <w:tblPr>
        <w:tblW w:w="7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5180"/>
        <w:gridCol w:w="2360"/>
      </w:tblGrid>
      <w:tr w:rsidR="00253BFE" w:rsidRPr="00253BFE" w14:paraId="0F983FFF" w14:textId="77777777" w:rsidTr="00253BFE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9F1E5" w14:textId="1D093919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noProof/>
                <w:color w:val="000000"/>
                <w:kern w:val="0"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44B9C290" wp14:editId="39BCD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52400"/>
                  <wp:effectExtent l="0" t="0" r="0" b="0"/>
                  <wp:wrapNone/>
                  <wp:docPr id="1" name="図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1AC7D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3307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(N = 1092)</w:t>
            </w:r>
          </w:p>
        </w:tc>
      </w:tr>
      <w:tr w:rsidR="00253BFE" w:rsidRPr="00253BFE" w14:paraId="55B4F4D1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D487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Gender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3668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4B08EF72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E93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B7E7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female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0497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381 (34.9)</w:t>
            </w:r>
          </w:p>
        </w:tc>
      </w:tr>
      <w:tr w:rsidR="00253BFE" w:rsidRPr="00253BFE" w14:paraId="1C3135B6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B30B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838A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male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171A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711 (65.1)</w:t>
            </w:r>
          </w:p>
        </w:tc>
      </w:tr>
      <w:tr w:rsidR="00253BFE" w:rsidRPr="00253BFE" w14:paraId="7B37DB20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44EF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Age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590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63A490A5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5CA1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45A8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&lt; 40 </w:t>
            </w:r>
            <w:proofErr w:type="spellStart"/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2E93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271 (24.8)</w:t>
            </w:r>
          </w:p>
        </w:tc>
      </w:tr>
      <w:tr w:rsidR="00253BFE" w:rsidRPr="00253BFE" w14:paraId="4203B1D8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0294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AC2D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40 - 59 </w:t>
            </w:r>
            <w:proofErr w:type="spellStart"/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0DF8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357 (32.7)</w:t>
            </w:r>
          </w:p>
        </w:tc>
      </w:tr>
      <w:tr w:rsidR="00253BFE" w:rsidRPr="00253BFE" w14:paraId="2EC93435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81A3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1FB5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60 - 79 </w:t>
            </w:r>
            <w:proofErr w:type="spellStart"/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4643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362 (33.2)</w:t>
            </w:r>
          </w:p>
        </w:tc>
      </w:tr>
      <w:tr w:rsidR="00253BFE" w:rsidRPr="00253BFE" w14:paraId="24334487" w14:textId="77777777" w:rsidTr="00253BFE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B41C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94BA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≥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80 </w:t>
            </w:r>
            <w:proofErr w:type="spellStart"/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7578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102 (9.3)</w:t>
            </w:r>
          </w:p>
        </w:tc>
      </w:tr>
      <w:tr w:rsidR="00253BFE" w:rsidRPr="00253BFE" w14:paraId="03F2C350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B0E7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Height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cm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8128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166.3±9.8</w:t>
            </w:r>
          </w:p>
        </w:tc>
      </w:tr>
      <w:tr w:rsidR="00253BFE" w:rsidRPr="00253BFE" w14:paraId="5E5C442B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7722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Body weight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kg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0720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67.0±16.0</w:t>
            </w:r>
          </w:p>
        </w:tc>
      </w:tr>
      <w:tr w:rsidR="00253BFE" w:rsidRPr="00253BFE" w14:paraId="79DF5F08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150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Body Mass Index</w:t>
            </w: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FE4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68390741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A34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A24F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&lt; 18.5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624D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62 (6.9)</w:t>
            </w:r>
          </w:p>
        </w:tc>
      </w:tr>
      <w:tr w:rsidR="00253BFE" w:rsidRPr="00253BFE" w14:paraId="7EAE2411" w14:textId="77777777" w:rsidTr="00253BFE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2CF1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FBB4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  <w:lang w:eastAsia="ja-JP"/>
              </w:rPr>
              <w:t>≥</w:t>
            </w: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18.5,  &lt; 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26CC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514 (56.9)</w:t>
            </w:r>
          </w:p>
        </w:tc>
      </w:tr>
      <w:tr w:rsidR="00253BFE" w:rsidRPr="00253BFE" w14:paraId="72DC6EFD" w14:textId="77777777" w:rsidTr="00253BFE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96B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ABBF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  <w:lang w:eastAsia="ja-JP"/>
              </w:rPr>
              <w:t>≥</w:t>
            </w: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79F4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327 (36.2)</w:t>
            </w:r>
          </w:p>
        </w:tc>
      </w:tr>
      <w:tr w:rsidR="00253BFE" w:rsidRPr="00253BFE" w14:paraId="602BEAD8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C897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Race/region</w:t>
            </w: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F2E5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320E0D7C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4E64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17B6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Japanese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829A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1008 (92.3)</w:t>
            </w:r>
          </w:p>
        </w:tc>
      </w:tr>
      <w:tr w:rsidR="00253BFE" w:rsidRPr="00253BFE" w14:paraId="4EFD5E5A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291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FF10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East Asians outside of Japan (China, Korea)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135C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20 (1.8)</w:t>
            </w:r>
          </w:p>
        </w:tc>
      </w:tr>
      <w:tr w:rsidR="00253BFE" w:rsidRPr="00253BFE" w14:paraId="25A6262B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89CB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2E8E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South-East Asians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B017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30 (2.7)</w:t>
            </w:r>
          </w:p>
        </w:tc>
      </w:tr>
      <w:tr w:rsidR="00253BFE" w:rsidRPr="00253BFE" w14:paraId="3042F736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01DB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3547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Westerners - Caucasians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D56A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31 (2.8)</w:t>
            </w:r>
          </w:p>
        </w:tc>
      </w:tr>
      <w:tr w:rsidR="00253BFE" w:rsidRPr="00253BFE" w14:paraId="09C1DC8B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92D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C268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Westerners - Blacks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DF22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 (0.1)</w:t>
            </w:r>
          </w:p>
        </w:tc>
      </w:tr>
      <w:tr w:rsidR="00253BFE" w:rsidRPr="00253BFE" w14:paraId="733F6A4D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750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2751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Others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3AD9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 (0.2)</w:t>
            </w:r>
          </w:p>
        </w:tc>
      </w:tr>
      <w:tr w:rsidR="00253BFE" w:rsidRPr="00253BFE" w14:paraId="7BE10D97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F326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Smoking history</w:t>
            </w: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D749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0E61C1DA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66A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AD78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Never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B327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571 (57.9)</w:t>
            </w:r>
          </w:p>
        </w:tc>
      </w:tr>
      <w:tr w:rsidR="00253BFE" w:rsidRPr="00253BFE" w14:paraId="0EEF6CE0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8423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188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Former or Current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6092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416 (42.1)</w:t>
            </w:r>
          </w:p>
        </w:tc>
      </w:tr>
      <w:tr w:rsidR="00253BFE" w:rsidRPr="00253BFE" w14:paraId="1C45AD80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8AD2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Comorbidities</w:t>
            </w:r>
            <w:r w:rsidRPr="00253BFE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4BAA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7CE3327B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BAFA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DA7D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Hypertension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ED2A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299 (27.4)</w:t>
            </w:r>
          </w:p>
        </w:tc>
      </w:tr>
      <w:tr w:rsidR="00253BFE" w:rsidRPr="00253BFE" w14:paraId="165A13CF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8ACD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A687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Diabetes mellitus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4A88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194 (17.8)</w:t>
            </w:r>
          </w:p>
        </w:tc>
      </w:tr>
      <w:tr w:rsidR="00253BFE" w:rsidRPr="00253BFE" w14:paraId="1C268C49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9BD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Time from symptom onset to admission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days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E81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8.1±4.7</w:t>
            </w:r>
          </w:p>
        </w:tc>
      </w:tr>
      <w:tr w:rsidR="00253BFE" w:rsidRPr="00253BFE" w14:paraId="63E77FEF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87A4" w14:textId="68E8C3CC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Score of 7-point ordinal scale on </w:t>
            </w:r>
            <w:r w:rsid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D</w:t>
            </w: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ay 1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5E1D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2FCA981B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E85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1664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 or 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CA6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62 (5.7)</w:t>
            </w:r>
          </w:p>
        </w:tc>
      </w:tr>
      <w:tr w:rsidR="00253BFE" w:rsidRPr="00253BFE" w14:paraId="5923FB0D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1BDA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3E14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74D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278 (25.5)</w:t>
            </w:r>
          </w:p>
        </w:tc>
      </w:tr>
      <w:tr w:rsidR="00253BFE" w:rsidRPr="00253BFE" w14:paraId="06037764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FC3C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73D1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19F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385 (35.3)</w:t>
            </w:r>
          </w:p>
        </w:tc>
      </w:tr>
      <w:tr w:rsidR="00253BFE" w:rsidRPr="00253BFE" w14:paraId="5A7F0343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F152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C742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FB1B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367 (33.6)</w:t>
            </w:r>
          </w:p>
        </w:tc>
      </w:tr>
      <w:tr w:rsidR="00253BFE" w:rsidRPr="00253BFE" w14:paraId="3273A3CD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13F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SpO</w:t>
            </w:r>
            <w:r w:rsidRPr="00C2698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ja-JP"/>
              </w:rPr>
              <w:t>2</w:t>
            </w: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 / FiO</w:t>
            </w:r>
            <w:r w:rsidRPr="00C2698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ja-JP"/>
              </w:rPr>
              <w:t>2</w:t>
            </w: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 on Day1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5A93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416.4±92.6</w:t>
            </w:r>
          </w:p>
        </w:tc>
      </w:tr>
      <w:tr w:rsidR="00253BFE" w:rsidRPr="00253BFE" w14:paraId="3A72C8A0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C69E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Symptoms due to COVID-19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5865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0163AB80" w14:textId="77777777" w:rsidTr="00253BFE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62DD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8FBA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Fever </w:t>
            </w:r>
            <w:r w:rsidRPr="00253BFE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≥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37</w:t>
            </w:r>
            <w:r w:rsidRPr="00253BFE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℃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AB70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714 (65.4)</w:t>
            </w:r>
          </w:p>
        </w:tc>
      </w:tr>
      <w:tr w:rsidR="00253BFE" w:rsidRPr="00253BFE" w14:paraId="670314B7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0FBC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8F03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Dyspnea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6B1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378 (34.6)</w:t>
            </w:r>
          </w:p>
        </w:tc>
      </w:tr>
      <w:tr w:rsidR="00253BFE" w:rsidRPr="00253BFE" w14:paraId="6B122DB0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95A1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49F0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Taste and/or smell disorder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26D2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227 (20.8)</w:t>
            </w:r>
          </w:p>
        </w:tc>
      </w:tr>
      <w:tr w:rsidR="00253BFE" w:rsidRPr="00253BFE" w14:paraId="72CC38D0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AC41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Pneumonia on initial </w:t>
            </w:r>
            <w:proofErr w:type="spellStart"/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Xp</w:t>
            </w:r>
            <w:proofErr w:type="spellEnd"/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/CT</w:t>
            </w: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0211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827 (75.7)</w:t>
            </w:r>
          </w:p>
        </w:tc>
      </w:tr>
      <w:tr w:rsidR="00253BFE" w:rsidRPr="00253BFE" w14:paraId="64278EAA" w14:textId="77777777" w:rsidTr="00253BF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8052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Laboratory data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8DE6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253BFE" w:rsidRPr="00253BFE" w14:paraId="3E3AE243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EEF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5AF1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C-reactive protein - mg/dL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B322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5.5±6.4</w:t>
            </w:r>
          </w:p>
        </w:tc>
      </w:tr>
      <w:tr w:rsidR="00253BFE" w:rsidRPr="00253BFE" w14:paraId="131DE7AA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060B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CECE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Lymphocyte count - /µL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839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1135.7±651.3</w:t>
            </w:r>
          </w:p>
        </w:tc>
      </w:tr>
      <w:tr w:rsidR="00253BFE" w:rsidRPr="00253BFE" w14:paraId="1100CEF9" w14:textId="77777777" w:rsidTr="00253BFE">
        <w:trPr>
          <w:trHeight w:val="375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13E2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Treatment for COVID-19</w:t>
            </w:r>
          </w:p>
        </w:tc>
      </w:tr>
      <w:tr w:rsidR="00253BFE" w:rsidRPr="00253BFE" w14:paraId="49244BFA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E253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6904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Favipiravir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7048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421 (38.6)</w:t>
            </w:r>
          </w:p>
        </w:tc>
      </w:tr>
      <w:tr w:rsidR="00253BFE" w:rsidRPr="00253BFE" w14:paraId="16EE7667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9D2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80CA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Macrolide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91E2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367 (33.6)</w:t>
            </w:r>
          </w:p>
        </w:tc>
      </w:tr>
      <w:tr w:rsidR="00253BFE" w:rsidRPr="00253BFE" w14:paraId="7A95B36D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0517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1B9F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proofErr w:type="spellStart"/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Ciclesonide</w:t>
            </w:r>
            <w:proofErr w:type="spellEnd"/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7B8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264 (24.2)</w:t>
            </w:r>
          </w:p>
        </w:tc>
      </w:tr>
      <w:tr w:rsidR="00253BFE" w:rsidRPr="00253BFE" w14:paraId="60C028C6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4951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97D9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Corticosteroid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1721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235 (21.5)</w:t>
            </w:r>
          </w:p>
        </w:tc>
      </w:tr>
      <w:tr w:rsidR="00253BFE" w:rsidRPr="00253BFE" w14:paraId="3DA92D85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2153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4E7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Chloroquine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C304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161 (14.7)</w:t>
            </w:r>
          </w:p>
        </w:tc>
      </w:tr>
      <w:tr w:rsidR="00253BFE" w:rsidRPr="00253BFE" w14:paraId="1A0B153D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229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6ABF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Lopinavir/ritonavir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F935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70 (6.4)</w:t>
            </w:r>
          </w:p>
        </w:tc>
      </w:tr>
      <w:tr w:rsidR="00253BFE" w:rsidRPr="00253BFE" w14:paraId="69EC1339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745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FE41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Immunoglobulin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0816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32 (2.9)</w:t>
            </w:r>
          </w:p>
        </w:tc>
      </w:tr>
      <w:tr w:rsidR="00253BFE" w:rsidRPr="00253BFE" w14:paraId="0DF8DF2A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6CBE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723D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Tocilizumab - no. (%)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775D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19 (1.7)</w:t>
            </w:r>
          </w:p>
        </w:tc>
      </w:tr>
      <w:tr w:rsidR="00253BFE" w:rsidRPr="00253BFE" w14:paraId="2B58D0D4" w14:textId="77777777" w:rsidTr="00253BF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0076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C7D2B" w14:textId="77777777" w:rsidR="00253BFE" w:rsidRPr="00253BFE" w:rsidRDefault="00253BFE" w:rsidP="00253BFE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Others - no. (%)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AAD59" w14:textId="77777777" w:rsidR="00253BFE" w:rsidRPr="00253BFE" w:rsidRDefault="00253BFE" w:rsidP="00253BFE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253B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306 (28.0)</w:t>
            </w:r>
          </w:p>
        </w:tc>
      </w:tr>
    </w:tbl>
    <w:p w14:paraId="092C2202" w14:textId="728F6B99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>Because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 only a few patients had a baseline </w:t>
      </w:r>
      <w:r>
        <w:rPr>
          <w:rFonts w:ascii="Times New Roman" w:hAnsi="Times New Roman" w:cs="Times New Roman"/>
          <w:sz w:val="24"/>
          <w:lang w:eastAsia="ja-JP"/>
        </w:rPr>
        <w:t xml:space="preserve">7-point ordinal 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score of 3,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414685">
        <w:rPr>
          <w:rFonts w:ascii="Times New Roman" w:hAnsi="Times New Roman" w:cs="Times New Roman"/>
          <w:sz w:val="24"/>
          <w:lang w:eastAsia="ja-JP"/>
        </w:rPr>
        <w:t>patients with a baseline score of 2 and 3 we</w:t>
      </w:r>
      <w:r>
        <w:rPr>
          <w:rFonts w:ascii="Times New Roman" w:hAnsi="Times New Roman" w:cs="Times New Roman"/>
          <w:sz w:val="24"/>
          <w:lang w:eastAsia="ja-JP"/>
        </w:rPr>
        <w:t>re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 combined for the analysis.</w:t>
      </w:r>
      <w:r>
        <w:rPr>
          <w:rFonts w:ascii="Times New Roman" w:hAnsi="Times New Roman" w:cs="Times New Roman"/>
          <w:sz w:val="24"/>
          <w:lang w:eastAsia="ja-JP"/>
        </w:rPr>
        <w:t xml:space="preserve"> </w:t>
      </w:r>
      <w:r w:rsidRPr="00495561">
        <w:rPr>
          <w:rFonts w:ascii="Times New Roman" w:hAnsi="Times New Roman" w:cs="Times New Roman"/>
          <w:sz w:val="24"/>
          <w:lang w:eastAsia="ja-JP"/>
        </w:rPr>
        <w:t>Categorical variables were presented as numbers (</w:t>
      </w:r>
      <w:r>
        <w:rPr>
          <w:rFonts w:ascii="Times New Roman" w:hAnsi="Times New Roman" w:cs="Times New Roman"/>
          <w:sz w:val="24"/>
          <w:lang w:eastAsia="ja-JP"/>
        </w:rPr>
        <w:t>%</w:t>
      </w:r>
      <w:r w:rsidRPr="00495561">
        <w:rPr>
          <w:rFonts w:ascii="Times New Roman" w:hAnsi="Times New Roman" w:cs="Times New Roman"/>
          <w:sz w:val="24"/>
          <w:lang w:eastAsia="ja-JP"/>
        </w:rPr>
        <w:t>), and compared using</w:t>
      </w:r>
      <w:r w:rsidRPr="004641FF">
        <w:rPr>
          <w:rFonts w:ascii="Times New Roman" w:hAnsi="Times New Roman" w:cs="Times New Roman"/>
          <w:sz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chi square test. Normally distributed continuous variables were presented as mean and standard deviation (SD), and compared using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7C108A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  <w:lang w:eastAsia="ja-JP"/>
        </w:rPr>
        <w:t xml:space="preserve"> 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test. A </w:t>
      </w:r>
      <w:r w:rsidRPr="007C108A">
        <w:rPr>
          <w:rFonts w:ascii="Times New Roman" w:hAnsi="Times New Roman"/>
          <w:i/>
          <w:sz w:val="24"/>
        </w:rPr>
        <w:t>p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 value of &lt;0.05 was considered statistically significant. COVID-19, coronavirus disease 2019; CT, computed tomography.</w:t>
      </w:r>
    </w:p>
    <w:p w14:paraId="7D214D50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br w:type="page"/>
      </w:r>
    </w:p>
    <w:p w14:paraId="019FE4D0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  <w:sectPr w:rsidR="005802F6" w:rsidSect="001E5765">
          <w:pgSz w:w="11906" w:h="16838" w:code="9"/>
          <w:pgMar w:top="1985" w:right="1701" w:bottom="1701" w:left="1701" w:header="851" w:footer="992" w:gutter="0"/>
          <w:lnNumType w:countBy="1"/>
          <w:cols w:space="425"/>
          <w:docGrid w:type="lines" w:linePitch="360"/>
        </w:sectPr>
      </w:pPr>
    </w:p>
    <w:p w14:paraId="6E199EA8" w14:textId="3082DDB4" w:rsidR="005802F6" w:rsidRPr="007C108A" w:rsidRDefault="000E5E7B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r w:rsidRPr="000E5E7B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lastRenderedPageBreak/>
        <w:t>Supplemental</w:t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802F6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Table</w:t>
      </w:r>
      <w:r w:rsidR="003166BA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802F6" w:rsidRPr="00B0257F">
        <w:rPr>
          <w:rFonts w:ascii="Times New Roman" w:hAnsi="Times New Roman" w:cs="Times New Roman"/>
          <w:b/>
          <w:bCs/>
          <w:sz w:val="24"/>
          <w:lang w:eastAsia="ja-JP"/>
        </w:rPr>
        <w:t xml:space="preserve">2.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>Outcomes for the Overall Study Population</w:t>
      </w:r>
      <w:r w:rsidR="005802F6" w:rsidRPr="007C108A" w:rsidDel="004641FF">
        <w:rPr>
          <w:rFonts w:ascii="Times New Roman" w:hAnsi="Times New Roman" w:cs="Times New Roman"/>
          <w:b/>
          <w:bCs/>
          <w:sz w:val="24"/>
          <w:lang w:eastAsia="ja-JP"/>
        </w:rPr>
        <w:t xml:space="preserve"> </w:t>
      </w:r>
    </w:p>
    <w:tbl>
      <w:tblPr>
        <w:tblW w:w="9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8260"/>
        <w:gridCol w:w="1120"/>
      </w:tblGrid>
      <w:tr w:rsidR="001E5765" w:rsidRPr="001E5765" w14:paraId="45A86F9B" w14:textId="77777777" w:rsidTr="001E5765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880E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65D9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10F66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(N=1092)</w:t>
            </w:r>
          </w:p>
        </w:tc>
      </w:tr>
      <w:tr w:rsidR="001E5765" w:rsidRPr="001E5765" w14:paraId="19FDF976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65F2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Score of 7-point ordinal scale on Day 15 - no.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F08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23BF87C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EC19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58D2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 (death)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2CA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 (2.1)</w:t>
            </w:r>
          </w:p>
        </w:tc>
      </w:tr>
      <w:tr w:rsidR="001E5765" w:rsidRPr="001E5765" w14:paraId="238F1B54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8EC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569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 (hospitalized, on invasive mechanical ventilation or Extra-Corporeal Membrane Oxygenation)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7A9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96 (8.8)</w:t>
            </w:r>
          </w:p>
        </w:tc>
      </w:tr>
      <w:tr w:rsidR="001E5765" w:rsidRPr="001E5765" w14:paraId="75A1381A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18C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FA5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 (hospitalized, on Non-invasive Positive Pressure Ventilation or High-Flow Nasal Cannula)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74A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 (0.9)</w:t>
            </w:r>
          </w:p>
        </w:tc>
      </w:tr>
      <w:tr w:rsidR="001E5765" w:rsidRPr="001E5765" w14:paraId="154017FF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21B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AB5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 (hospitalized, requiring low flow supplemental oxygen)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F8B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116 (10.6)</w:t>
            </w:r>
          </w:p>
        </w:tc>
      </w:tr>
      <w:tr w:rsidR="001E5765" w:rsidRPr="001E5765" w14:paraId="44280204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40F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2252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 (hospitalized, not requiring supplemental oxygen, requiring ongoing medical care)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79A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140 (12.8)</w:t>
            </w:r>
          </w:p>
        </w:tc>
      </w:tr>
      <w:tr w:rsidR="001E5765" w:rsidRPr="001E5765" w14:paraId="4E34A52A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211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DCF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 (hospitalized, not requiring supplemental oxygen, no longer required ongoing medical care)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0F96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287 (26.3)</w:t>
            </w:r>
          </w:p>
        </w:tc>
      </w:tr>
      <w:tr w:rsidR="001E5765" w:rsidRPr="001E5765" w14:paraId="32AF9A44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1486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4879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 (discharged/not hospitalized)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241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401 (36.7)</w:t>
            </w:r>
          </w:p>
        </w:tc>
      </w:tr>
      <w:tr w:rsidR="001E5765" w:rsidRPr="001E5765" w14:paraId="7161F47D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EB9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8F66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unknown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F9B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19 (1.7)</w:t>
            </w:r>
          </w:p>
        </w:tc>
      </w:tr>
      <w:tr w:rsidR="001E5765" w:rsidRPr="001E5765" w14:paraId="5506B290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47E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Time to PCR negativity of the swab solution -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84A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15 [10, 23]</w:t>
            </w:r>
          </w:p>
        </w:tc>
      </w:tr>
      <w:tr w:rsidR="001E5765" w:rsidRPr="001E5765" w14:paraId="3E710649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2B7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Duration of fever -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007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7 [4, 13]</w:t>
            </w:r>
          </w:p>
        </w:tc>
      </w:tr>
      <w:tr w:rsidR="001E5765" w:rsidRPr="001E5765" w14:paraId="39F962F9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00A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Oxygen supplementation - no.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C4B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472 (43.3)</w:t>
            </w:r>
          </w:p>
        </w:tc>
      </w:tr>
      <w:tr w:rsidR="001E5765" w:rsidRPr="001E5765" w14:paraId="41C674CB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BBE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Non-invasive Positive Pressure Ventilation or High-Flow Nasal Cannula - no.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77C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39 (3.6)</w:t>
            </w:r>
          </w:p>
        </w:tc>
      </w:tr>
      <w:tr w:rsidR="001E5765" w:rsidRPr="001E5765" w14:paraId="73C239EA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5A5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Invasive mechanical ventilation with tracheal intubation - no.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EB6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172 (15.8)</w:t>
            </w:r>
          </w:p>
        </w:tc>
      </w:tr>
      <w:tr w:rsidR="001E5765" w:rsidRPr="001E5765" w14:paraId="3655DEE2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C23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Extra-Corporeal Membrane Oxygenation - no.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7E4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38 (3.5)</w:t>
            </w:r>
          </w:p>
        </w:tc>
      </w:tr>
      <w:tr w:rsidR="001E5765" w:rsidRPr="001E5765" w14:paraId="7923ABC9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63A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Hospitalization period -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2E6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18 [12, 27]</w:t>
            </w:r>
          </w:p>
        </w:tc>
      </w:tr>
      <w:tr w:rsidR="001E5765" w:rsidRPr="001E5765" w14:paraId="749DC601" w14:textId="77777777" w:rsidTr="001E5765">
        <w:trPr>
          <w:trHeight w:val="25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28B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Mortality - no. (%)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0E77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4B9695F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108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976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on Day 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497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 (2.1)</w:t>
            </w:r>
          </w:p>
        </w:tc>
      </w:tr>
      <w:tr w:rsidR="001E5765" w:rsidRPr="001E5765" w14:paraId="147AE29C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525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35A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on Day 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94F9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41 (3.8)</w:t>
            </w:r>
          </w:p>
        </w:tc>
      </w:tr>
      <w:tr w:rsidR="001E5765" w:rsidRPr="001E5765" w14:paraId="540E312E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43F7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3B9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during the entire observation period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2637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59 (5.4)</w:t>
            </w:r>
          </w:p>
        </w:tc>
      </w:tr>
    </w:tbl>
    <w:p w14:paraId="5CD60B01" w14:textId="58889710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 w:rsidRPr="00522071">
        <w:rPr>
          <w:rFonts w:ascii="Times New Roman" w:hAnsi="Times New Roman" w:cs="Times New Roman"/>
          <w:sz w:val="24"/>
          <w:lang w:eastAsia="ja-JP"/>
        </w:rPr>
        <w:t>Categorical variables were presented as numbers (</w:t>
      </w:r>
      <w:r>
        <w:rPr>
          <w:rFonts w:ascii="Times New Roman" w:hAnsi="Times New Roman" w:cs="Times New Roman"/>
          <w:sz w:val="24"/>
          <w:lang w:eastAsia="ja-JP"/>
        </w:rPr>
        <w:t>%</w:t>
      </w:r>
      <w:r w:rsidRPr="00522071">
        <w:rPr>
          <w:rFonts w:ascii="Times New Roman" w:hAnsi="Times New Roman" w:cs="Times New Roman"/>
          <w:sz w:val="24"/>
          <w:lang w:eastAsia="ja-JP"/>
        </w:rPr>
        <w:t>). Continuous variables related to time were presented as median [interquartile ranges]. PCR, polymerase chain reaction.</w:t>
      </w:r>
      <w:r>
        <w:rPr>
          <w:rFonts w:ascii="Times New Roman" w:hAnsi="Times New Roman" w:cs="Times New Roman"/>
          <w:sz w:val="24"/>
          <w:lang w:eastAsia="ja-JP"/>
        </w:rPr>
        <w:br w:type="page"/>
      </w:r>
    </w:p>
    <w:p w14:paraId="1A70FFBB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  <w:sectPr w:rsidR="005802F6" w:rsidSect="001E5765">
          <w:pgSz w:w="16838" w:h="11906" w:orient="landscape" w:code="9"/>
          <w:pgMar w:top="1701" w:right="1985" w:bottom="1701" w:left="1701" w:header="851" w:footer="992" w:gutter="0"/>
          <w:lnNumType w:countBy="1"/>
          <w:cols w:space="425"/>
          <w:docGrid w:type="linesAndChars" w:linePitch="360"/>
        </w:sectPr>
      </w:pPr>
    </w:p>
    <w:p w14:paraId="7C0F5EA7" w14:textId="2780194F" w:rsidR="005802F6" w:rsidRPr="007C108A" w:rsidRDefault="000E5E7B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r w:rsidRPr="000E5E7B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lastRenderedPageBreak/>
        <w:t xml:space="preserve">Supplemental </w:t>
      </w:r>
      <w:r w:rsidR="005802F6" w:rsidRPr="007C108A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Table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 xml:space="preserve">3. </w:t>
      </w:r>
      <w:r w:rsidR="005802F6" w:rsidRPr="007C108A">
        <w:rPr>
          <w:rFonts w:ascii="Times New Roman" w:hAnsi="Times New Roman"/>
          <w:b/>
          <w:bCs/>
          <w:sz w:val="24"/>
        </w:rPr>
        <w:t xml:space="preserve">Baseline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>Characteristics</w:t>
      </w:r>
      <w:r w:rsidR="005802F6" w:rsidRPr="007C108A">
        <w:rPr>
          <w:rFonts w:ascii="Times New Roman" w:hAnsi="Times New Roman"/>
          <w:b/>
          <w:bCs/>
          <w:sz w:val="24"/>
        </w:rPr>
        <w:t xml:space="preserve"> of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 xml:space="preserve">the </w:t>
      </w:r>
      <w:r w:rsidR="003166BA">
        <w:rPr>
          <w:rFonts w:ascii="Times New Roman" w:hAnsi="Times New Roman" w:cs="Times New Roman"/>
          <w:b/>
          <w:bCs/>
          <w:sz w:val="24"/>
          <w:lang w:eastAsia="ja-JP"/>
        </w:rPr>
        <w:t>P</w:t>
      </w:r>
      <w:r w:rsidR="003166BA" w:rsidRPr="007C108A">
        <w:rPr>
          <w:rFonts w:ascii="Times New Roman" w:hAnsi="Times New Roman" w:cs="Times New Roman"/>
          <w:b/>
          <w:bCs/>
          <w:sz w:val="24"/>
          <w:lang w:eastAsia="ja-JP"/>
        </w:rPr>
        <w:t xml:space="preserve">atients </w:t>
      </w:r>
      <w:r w:rsidR="005802F6" w:rsidRPr="007C108A">
        <w:rPr>
          <w:rFonts w:ascii="Times New Roman" w:hAnsi="Times New Roman" w:cs="Times New Roman"/>
          <w:b/>
          <w:bCs/>
          <w:sz w:val="24"/>
          <w:lang w:eastAsia="ja-JP"/>
        </w:rPr>
        <w:t xml:space="preserve">who </w:t>
      </w:r>
      <w:r w:rsidR="003166BA">
        <w:rPr>
          <w:rFonts w:ascii="Times New Roman" w:hAnsi="Times New Roman" w:cs="Times New Roman"/>
          <w:b/>
          <w:bCs/>
          <w:sz w:val="24"/>
          <w:lang w:eastAsia="ja-JP"/>
        </w:rPr>
        <w:t>R</w:t>
      </w:r>
      <w:r w:rsidR="003166BA" w:rsidRPr="007C108A">
        <w:rPr>
          <w:rFonts w:ascii="Times New Roman" w:hAnsi="Times New Roman" w:cs="Times New Roman"/>
          <w:b/>
          <w:bCs/>
          <w:sz w:val="24"/>
          <w:lang w:eastAsia="ja-JP"/>
        </w:rPr>
        <w:t xml:space="preserve">eceived </w:t>
      </w:r>
      <w:r w:rsidR="003166BA">
        <w:rPr>
          <w:rFonts w:ascii="Times New Roman" w:hAnsi="Times New Roman" w:cs="Times New Roman"/>
          <w:b/>
          <w:bCs/>
          <w:sz w:val="24"/>
          <w:lang w:eastAsia="ja-JP"/>
        </w:rPr>
        <w:t>C</w:t>
      </w:r>
      <w:r w:rsidR="003166BA" w:rsidRPr="007C108A">
        <w:rPr>
          <w:rFonts w:ascii="Times New Roman" w:hAnsi="Times New Roman" w:cs="Times New Roman"/>
          <w:b/>
          <w:bCs/>
          <w:sz w:val="24"/>
          <w:lang w:eastAsia="ja-JP"/>
        </w:rPr>
        <w:t>orticosteroids</w:t>
      </w:r>
    </w:p>
    <w:tbl>
      <w:tblPr>
        <w:tblW w:w="12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4020"/>
        <w:gridCol w:w="2500"/>
        <w:gridCol w:w="2232"/>
        <w:gridCol w:w="2128"/>
        <w:gridCol w:w="1060"/>
      </w:tblGrid>
      <w:tr w:rsidR="001E5765" w:rsidRPr="001E5765" w14:paraId="0A58388C" w14:textId="77777777" w:rsidTr="00292DE1">
        <w:trPr>
          <w:trHeight w:val="795"/>
        </w:trPr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59F29" w14:textId="523249B0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noProof/>
                <w:color w:val="000000"/>
                <w:kern w:val="0"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4D962C12" wp14:editId="2374C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52400"/>
                  <wp:effectExtent l="0" t="0" r="0" b="0"/>
                  <wp:wrapNone/>
                  <wp:docPr id="4" name="図 4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79B9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8FCC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All patients receiving corticosteroids (N=235)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EB2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Within 3 days after admission (N = 163)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76D1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游ゴシック" w:eastAsia="游ゴシック" w:hAnsi="游ゴシック" w:cs="Times New Roman" w:hint="eastAsia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≥</w:t>
            </w: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  4 days after admission (N = 72)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FE67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i/>
                <w:iCs/>
                <w:kern w:val="0"/>
                <w:sz w:val="20"/>
                <w:szCs w:val="20"/>
                <w:lang w:eastAsia="ja-JP"/>
              </w:rPr>
              <w:t>p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-value</w:t>
            </w:r>
          </w:p>
        </w:tc>
      </w:tr>
      <w:tr w:rsidR="001E5765" w:rsidRPr="001E5765" w14:paraId="13B7EE6C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0EE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Gender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942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2BE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426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0A9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053701A6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605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429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female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C29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59 (25.1)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1BD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44 (27.0)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C4E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15 (20.8)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660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0.315</w:t>
            </w:r>
          </w:p>
        </w:tc>
      </w:tr>
      <w:tr w:rsidR="001E5765" w:rsidRPr="001E5765" w14:paraId="08FF628B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EE6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FE7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male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056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176 (74.9)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291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119 (73.0)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4E0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57 (79.2)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CB0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594ED632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1BD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Age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69B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235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BCD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3DB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43185CD5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1CE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6A22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&lt; 40 </w:t>
            </w:r>
            <w:proofErr w:type="spellStart"/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9E9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18 (7.7)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445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 (9.8)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F25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 (2.8)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853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0.186</w:t>
            </w:r>
          </w:p>
        </w:tc>
      </w:tr>
      <w:tr w:rsidR="001E5765" w:rsidRPr="001E5765" w14:paraId="047D80F1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26A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B54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40 - 59 </w:t>
            </w:r>
            <w:proofErr w:type="spellStart"/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374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82 (34.9)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C51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59 (36.2)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666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 (31.9)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CC0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95C6083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40D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6726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60 - 79 </w:t>
            </w:r>
            <w:proofErr w:type="spellStart"/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FDF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98 (41.7)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9CF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65 (39.9)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8EB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33 (45.8)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A8C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683685F" w14:textId="77777777" w:rsidTr="00292DE1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5E5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779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≥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80 </w:t>
            </w:r>
            <w:proofErr w:type="spellStart"/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yr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ADF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37 (15.7)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2CA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 (14.1)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04E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14 (19.4)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9EA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21EB0A0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007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Height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cm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D98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167.0±9.6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C7C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166.5±9.6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6F9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168.2±9.5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D52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0.247</w:t>
            </w:r>
          </w:p>
        </w:tc>
      </w:tr>
      <w:tr w:rsidR="001E5765" w:rsidRPr="001E5765" w14:paraId="31FCE858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F5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Body weight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98B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70.4±17.1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A43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69.9±18.3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A65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71.5±14.2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6C4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0.524</w:t>
            </w:r>
          </w:p>
        </w:tc>
      </w:tr>
      <w:tr w:rsidR="001E5765" w:rsidRPr="001E5765" w14:paraId="7CDE3912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430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Body Mass Index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FD59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1EF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D4B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A60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77ADDE98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570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B28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&lt; 18.5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098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7 (3.4)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B4F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4 (2.8)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416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 (4.8)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900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0.082</w:t>
            </w:r>
          </w:p>
        </w:tc>
      </w:tr>
      <w:tr w:rsidR="001E5765" w:rsidRPr="001E5765" w14:paraId="0ACB98B9" w14:textId="77777777" w:rsidTr="00292DE1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5CE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366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  <w:lang w:eastAsia="ja-JP"/>
              </w:rPr>
              <w:t>≥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18.5,  &lt; 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129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110 (53.7)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3BF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84 (58.7)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52E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26 (41.9)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E9F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9E6C460" w14:textId="77777777" w:rsidTr="00292DE1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A05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E6C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  <w:lang w:eastAsia="ja-JP"/>
              </w:rPr>
              <w:t>≥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0F9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88 (42.9)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FF4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55 (38.5)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5F2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33 (53.2)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C67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36FF4050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833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Race/region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EE36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528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C94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C13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15C86824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205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9D4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Japanese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317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226 (96.2)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9FA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158 (96.9)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F2C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68 (94.4)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BB2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0.473</w:t>
            </w:r>
          </w:p>
        </w:tc>
      </w:tr>
      <w:tr w:rsidR="001E5765" w:rsidRPr="001E5765" w14:paraId="549B4FEF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DD8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7E6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East Asians outside of Japan (China, Korea)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26B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5 (2.1)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064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 (1.8)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1DD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 (2.8)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AC3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32D71F4E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662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E5D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South-East Asians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570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 (1.3)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46D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 (1.2)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3D3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 (1.4)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0BD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71DC031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BDA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03C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Westerners - Caucasians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3ED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 (0.4)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A29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 (0.0)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1E3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 (1.4)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405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7D90B1B4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0F8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Smoking history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DEA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651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F49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A7B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05BBCE12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364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632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Never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E5E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115 (53.5)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7A4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91 (59.9)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028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24 (38.1)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CDA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0.004</w:t>
            </w:r>
          </w:p>
        </w:tc>
      </w:tr>
      <w:tr w:rsidR="001E5765" w:rsidRPr="001E5765" w14:paraId="389B64F5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329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076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Former or Current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81C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100 (46.5)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0E2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61 (40.1)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E9A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39 (61.9)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463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52205BA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D9D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  <w:t>Comorbidities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772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E48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660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5FC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25931D0A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8AA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4F6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Hypertension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FBF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99 (42.1)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E84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64 (39.3)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138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35 (48.6)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FCE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0.181</w:t>
            </w:r>
          </w:p>
        </w:tc>
      </w:tr>
      <w:tr w:rsidR="001E5765" w:rsidRPr="001E5765" w14:paraId="24F11BA7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D5A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83B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Diabetes mellitus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F79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76 (32.3)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9D4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50 (30.7)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066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26 (36.1)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CA0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0.412</w:t>
            </w:r>
          </w:p>
        </w:tc>
      </w:tr>
      <w:tr w:rsidR="001E5765" w:rsidRPr="001E5765" w14:paraId="7DB89D9A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967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Time from symptom onset to admission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days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CB18" w14:textId="77777777" w:rsidR="001E5765" w:rsidRPr="00C26981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C26981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8.0±4.1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2C7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8.4±4.3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956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7.0±3.6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E89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0.018</w:t>
            </w:r>
          </w:p>
        </w:tc>
      </w:tr>
      <w:tr w:rsidR="001E5765" w:rsidRPr="001E5765" w14:paraId="39319638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185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Score of 7-point ordinal scale on day 1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229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CCC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F64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425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27484222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B12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9BC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 or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32D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41 (17.4)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92B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32 (19.6)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2ED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 (12.5)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454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0.060</w:t>
            </w:r>
          </w:p>
        </w:tc>
      </w:tr>
      <w:tr w:rsidR="001E5765" w:rsidRPr="001E5765" w14:paraId="528CB484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D2B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917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898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110 (46.8)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9B9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74 (45.4)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D03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36 (50.0)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BE2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332A19CC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029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73F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2F0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75 (31.9)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57B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54 (33.1)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F37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21 (29.2)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792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72542C21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834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D7F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055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 (3.8)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2E8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 (1.8)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D86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 (8.3)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344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3DB55D0F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F1F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SpO2 / FiO2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591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4CC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3E9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DC5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3DB1B393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E5A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5CB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at day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782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349.0±125.4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700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342.1±130.5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18C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364.8±112.2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9E3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0.204</w:t>
            </w:r>
          </w:p>
        </w:tc>
      </w:tr>
      <w:tr w:rsidR="001E5765" w:rsidRPr="001E5765" w14:paraId="05757DE6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DC6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38A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just before corticosteroid initiation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50D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273.6±134.7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B4C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292.8±139.1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EF0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230.4±113.6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333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0.001</w:t>
            </w:r>
          </w:p>
        </w:tc>
      </w:tr>
      <w:tr w:rsidR="001E5765" w:rsidRPr="001E5765" w14:paraId="07FED752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A2A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Symptoms due to COVID-19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4F5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57D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774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6E2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0375EC4C" w14:textId="77777777" w:rsidTr="00292DE1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1AE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55D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Fever </w:t>
            </w:r>
            <w:r w:rsidRPr="001E5765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≥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37</w:t>
            </w:r>
            <w:r w:rsidRPr="001E5765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℃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487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189 (80.4)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CC0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126 (77.3)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EC2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63 (87.5)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81A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0.069</w:t>
            </w:r>
          </w:p>
        </w:tc>
      </w:tr>
      <w:tr w:rsidR="001E5765" w:rsidRPr="001E5765" w14:paraId="166F757C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CB4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D21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Dyspnea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828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129 (54.9)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F5F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92 (56.4)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FF4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37 (51.4)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5A1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0.473</w:t>
            </w:r>
          </w:p>
        </w:tc>
      </w:tr>
      <w:tr w:rsidR="001E5765" w:rsidRPr="001E5765" w14:paraId="55F7D316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C7F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8E1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Taste and/or smell disorder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056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29 (12.4)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46F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19 (11.7)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145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 (14.1)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710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0.604</w:t>
            </w:r>
          </w:p>
        </w:tc>
      </w:tr>
      <w:tr w:rsidR="001E5765" w:rsidRPr="001E5765" w14:paraId="58C3EA3E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E00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 xml:space="preserve">Pneumonia on initial </w:t>
            </w:r>
            <w:proofErr w:type="spellStart"/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Xp</w:t>
            </w:r>
            <w:proofErr w:type="spellEnd"/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/CT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B7F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227 (96.6)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851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159 (97.5)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D7A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68 (94.4)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9A0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0.227</w:t>
            </w:r>
          </w:p>
        </w:tc>
      </w:tr>
      <w:tr w:rsidR="001E5765" w:rsidRPr="001E5765" w14:paraId="063C6494" w14:textId="77777777" w:rsidTr="00292DE1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40B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Laboratory data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661F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EE8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AA8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014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40BAA47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3C6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50C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C-reactive protein - mg/dL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D60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C94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7BB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DE6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7A812BE2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45D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90C9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  at day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71F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9.6±7.1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0A9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9.7±7.1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439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9.4±7.1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873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0.803</w:t>
            </w:r>
          </w:p>
        </w:tc>
      </w:tr>
      <w:tr w:rsidR="001E5765" w:rsidRPr="001E5765" w14:paraId="0E15D53D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745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FA9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  just before corticosteroid initiation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21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11.8±8.3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6FA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10.2±7.5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594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15.3±9.1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B8D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&lt;0.001</w:t>
            </w:r>
          </w:p>
        </w:tc>
      </w:tr>
      <w:tr w:rsidR="001E5765" w:rsidRPr="001E5765" w14:paraId="7DE17F3C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382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57A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Lymphocyte count - /µL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E08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919.4±811.5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CD9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861.8±592.2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148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1048.6±1157.9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867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0.120</w:t>
            </w:r>
          </w:p>
        </w:tc>
      </w:tr>
      <w:tr w:rsidR="001E5765" w:rsidRPr="001E5765" w14:paraId="45579F3A" w14:textId="77777777" w:rsidTr="001E5765">
        <w:trPr>
          <w:trHeight w:val="375"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123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  <w:t>Treatment for COVID-19</w:t>
            </w:r>
          </w:p>
        </w:tc>
      </w:tr>
      <w:tr w:rsidR="001E5765" w:rsidRPr="001E5765" w14:paraId="7211BBA4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519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8EF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Favipiravir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027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146 (62.1)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231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98 (60.1)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E20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48 (66.7)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002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0.340</w:t>
            </w:r>
          </w:p>
        </w:tc>
      </w:tr>
      <w:tr w:rsidR="001E5765" w:rsidRPr="001E5765" w14:paraId="4CDEF038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71A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C218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Macrolide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EAB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152 (64.7)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1ED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114 (69.9)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84E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38 (52.8)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BD5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0.011</w:t>
            </w:r>
          </w:p>
        </w:tc>
      </w:tr>
      <w:tr w:rsidR="001E5765" w:rsidRPr="001E5765" w14:paraId="48F28016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70B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8E5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proofErr w:type="spellStart"/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Ciclesonide</w:t>
            </w:r>
            <w:proofErr w:type="spellEnd"/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D30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63 (26.8)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C16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35 (21.5)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C69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28 (38.9)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5D5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0.006</w:t>
            </w:r>
          </w:p>
        </w:tc>
      </w:tr>
      <w:tr w:rsidR="001E5765" w:rsidRPr="001E5765" w14:paraId="1FD55E06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AFA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3D1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Chloroquine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31C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53 (22.6)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EB5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33 (20.2)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99E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20 (27.8)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241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0.203</w:t>
            </w:r>
          </w:p>
        </w:tc>
      </w:tr>
      <w:tr w:rsidR="001E5765" w:rsidRPr="001E5765" w14:paraId="6959E8BC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D39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FF4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Lopinavir/ritonavir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16B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22 (9.4)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8FD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 (3.7)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270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16 (22.2)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48A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&lt;0.001</w:t>
            </w:r>
          </w:p>
        </w:tc>
      </w:tr>
      <w:tr w:rsidR="001E5765" w:rsidRPr="001E5765" w14:paraId="07FC96AE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6BB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D34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Immunoglobulin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202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18 (7.7)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DA6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 (5.5)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7D0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 (12.5)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3B7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0.064</w:t>
            </w:r>
          </w:p>
        </w:tc>
      </w:tr>
      <w:tr w:rsidR="001E5765" w:rsidRPr="001E5765" w14:paraId="2E91C1C4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33E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029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Tocilizumab - no. (%)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C38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11 (4.7)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F40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 (3.7)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A6E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 (6.9)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ABE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0.275</w:t>
            </w:r>
          </w:p>
        </w:tc>
      </w:tr>
      <w:tr w:rsidR="001E5765" w:rsidRPr="001E5765" w14:paraId="01381939" w14:textId="77777777" w:rsidTr="00292D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357E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09DE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Others - no. (%)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7CDE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140 (59.6)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3D51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102 (62.6)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1AA1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38 (52.8)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7280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0.158</w:t>
            </w:r>
          </w:p>
        </w:tc>
      </w:tr>
    </w:tbl>
    <w:p w14:paraId="00B5090A" w14:textId="041B9693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>Because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 only a few patients had a baseline </w:t>
      </w:r>
      <w:r>
        <w:rPr>
          <w:rFonts w:ascii="Times New Roman" w:hAnsi="Times New Roman" w:cs="Times New Roman"/>
          <w:sz w:val="24"/>
          <w:lang w:eastAsia="ja-JP"/>
        </w:rPr>
        <w:t xml:space="preserve">7-point ordinal 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score of 3,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414685">
        <w:rPr>
          <w:rFonts w:ascii="Times New Roman" w:hAnsi="Times New Roman" w:cs="Times New Roman"/>
          <w:sz w:val="24"/>
          <w:lang w:eastAsia="ja-JP"/>
        </w:rPr>
        <w:t>patients with a baseline score of 2 and 3 we</w:t>
      </w:r>
      <w:r>
        <w:rPr>
          <w:rFonts w:ascii="Times New Roman" w:hAnsi="Times New Roman" w:cs="Times New Roman"/>
          <w:sz w:val="24"/>
          <w:lang w:eastAsia="ja-JP"/>
        </w:rPr>
        <w:t>re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 combined for the analysis.</w:t>
      </w:r>
      <w:r>
        <w:rPr>
          <w:rFonts w:ascii="Times New Roman" w:hAnsi="Times New Roman" w:cs="Times New Roman"/>
          <w:sz w:val="24"/>
          <w:lang w:eastAsia="ja-JP"/>
        </w:rPr>
        <w:t xml:space="preserve"> </w:t>
      </w:r>
      <w:r w:rsidRPr="00495561">
        <w:rPr>
          <w:rFonts w:ascii="Times New Roman" w:hAnsi="Times New Roman" w:cs="Times New Roman"/>
          <w:sz w:val="24"/>
          <w:lang w:eastAsia="ja-JP"/>
        </w:rPr>
        <w:t>Categorical variables were presented as numbers (</w:t>
      </w:r>
      <w:r>
        <w:rPr>
          <w:rFonts w:ascii="Times New Roman" w:hAnsi="Times New Roman" w:cs="Times New Roman"/>
          <w:sz w:val="24"/>
          <w:lang w:eastAsia="ja-JP"/>
        </w:rPr>
        <w:t>%</w:t>
      </w:r>
      <w:r w:rsidRPr="00495561">
        <w:rPr>
          <w:rFonts w:ascii="Times New Roman" w:hAnsi="Times New Roman" w:cs="Times New Roman"/>
          <w:sz w:val="24"/>
          <w:lang w:eastAsia="ja-JP"/>
        </w:rPr>
        <w:t>), and compared using</w:t>
      </w:r>
      <w:r w:rsidRPr="004641FF">
        <w:rPr>
          <w:rFonts w:ascii="Times New Roman" w:hAnsi="Times New Roman" w:cs="Times New Roman"/>
          <w:sz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chi square test. Normally distributed continuous variables were presented as mean and standard deviation (SD), and compared using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7C108A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  <w:lang w:eastAsia="ja-JP"/>
        </w:rPr>
        <w:t xml:space="preserve"> 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test. A </w:t>
      </w:r>
      <w:r w:rsidRPr="007C108A">
        <w:rPr>
          <w:rFonts w:ascii="Times New Roman" w:hAnsi="Times New Roman"/>
          <w:i/>
          <w:sz w:val="24"/>
        </w:rPr>
        <w:t>p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 value of &lt;0.05 was considered </w:t>
      </w:r>
      <w:r w:rsidRPr="00495561">
        <w:rPr>
          <w:rFonts w:ascii="Times New Roman" w:hAnsi="Times New Roman" w:cs="Times New Roman"/>
          <w:sz w:val="24"/>
          <w:lang w:eastAsia="ja-JP"/>
        </w:rPr>
        <w:lastRenderedPageBreak/>
        <w:t>statistically significant. COVID-19, coronavirus disease 2019; CT, computed tomography.</w:t>
      </w:r>
    </w:p>
    <w:p w14:paraId="3C2877CF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br w:type="page"/>
      </w:r>
    </w:p>
    <w:p w14:paraId="77891C5C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  <w:sectPr w:rsidR="005802F6" w:rsidSect="00C26981">
          <w:pgSz w:w="16838" w:h="11906" w:orient="landscape" w:code="9"/>
          <w:pgMar w:top="1701" w:right="1985" w:bottom="1701" w:left="1701" w:header="851" w:footer="992" w:gutter="0"/>
          <w:lnNumType w:countBy="1"/>
          <w:cols w:space="425"/>
          <w:docGrid w:type="linesAndChars" w:linePitch="360"/>
        </w:sectPr>
      </w:pPr>
    </w:p>
    <w:p w14:paraId="6211EAC2" w14:textId="7857BA25" w:rsidR="005802F6" w:rsidRPr="00B0257F" w:rsidRDefault="000E5E7B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r w:rsidRPr="000E5E7B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lastRenderedPageBreak/>
        <w:t xml:space="preserve">Supplemental </w:t>
      </w:r>
      <w:r w:rsidR="005802F6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Table </w:t>
      </w:r>
      <w:r w:rsidR="005802F6" w:rsidRPr="00B0257F">
        <w:rPr>
          <w:rFonts w:ascii="Times New Roman" w:hAnsi="Times New Roman" w:cs="Times New Roman"/>
          <w:b/>
          <w:bCs/>
          <w:sz w:val="24"/>
          <w:lang w:eastAsia="ja-JP"/>
        </w:rPr>
        <w:t xml:space="preserve">4. Outcome of the </w:t>
      </w:r>
      <w:r w:rsidR="003166BA">
        <w:rPr>
          <w:rFonts w:ascii="Times New Roman" w:hAnsi="Times New Roman" w:cs="Times New Roman"/>
          <w:b/>
          <w:bCs/>
          <w:sz w:val="24"/>
          <w:lang w:eastAsia="ja-JP"/>
        </w:rPr>
        <w:t>P</w:t>
      </w:r>
      <w:r w:rsidR="003166BA" w:rsidRPr="00B0257F">
        <w:rPr>
          <w:rFonts w:ascii="Times New Roman" w:hAnsi="Times New Roman" w:cs="Times New Roman"/>
          <w:b/>
          <w:bCs/>
          <w:sz w:val="24"/>
          <w:lang w:eastAsia="ja-JP"/>
        </w:rPr>
        <w:t xml:space="preserve">atients </w:t>
      </w:r>
      <w:r w:rsidR="005802F6" w:rsidRPr="00B0257F">
        <w:rPr>
          <w:rFonts w:ascii="Times New Roman" w:hAnsi="Times New Roman" w:cs="Times New Roman"/>
          <w:b/>
          <w:bCs/>
          <w:sz w:val="24"/>
          <w:lang w:eastAsia="ja-JP"/>
        </w:rPr>
        <w:t xml:space="preserve">who </w:t>
      </w:r>
      <w:r w:rsidR="003166BA">
        <w:rPr>
          <w:rFonts w:ascii="Times New Roman" w:hAnsi="Times New Roman" w:cs="Times New Roman"/>
          <w:b/>
          <w:bCs/>
          <w:sz w:val="24"/>
          <w:lang w:eastAsia="ja-JP"/>
        </w:rPr>
        <w:t>R</w:t>
      </w:r>
      <w:r w:rsidR="003166BA" w:rsidRPr="00B0257F">
        <w:rPr>
          <w:rFonts w:ascii="Times New Roman" w:hAnsi="Times New Roman" w:cs="Times New Roman"/>
          <w:b/>
          <w:bCs/>
          <w:sz w:val="24"/>
          <w:lang w:eastAsia="ja-JP"/>
        </w:rPr>
        <w:t xml:space="preserve">eceived </w:t>
      </w:r>
      <w:r w:rsidR="003166BA">
        <w:rPr>
          <w:rFonts w:ascii="Times New Roman" w:hAnsi="Times New Roman" w:cs="Times New Roman"/>
          <w:b/>
          <w:bCs/>
          <w:sz w:val="24"/>
          <w:lang w:eastAsia="ja-JP"/>
        </w:rPr>
        <w:t>C</w:t>
      </w:r>
      <w:r w:rsidR="005802F6" w:rsidRPr="00B0257F">
        <w:rPr>
          <w:rFonts w:ascii="Times New Roman" w:hAnsi="Times New Roman" w:cs="Times New Roman"/>
          <w:b/>
          <w:bCs/>
          <w:sz w:val="24"/>
          <w:lang w:eastAsia="ja-JP"/>
        </w:rPr>
        <w:t>orticosteroids</w:t>
      </w:r>
    </w:p>
    <w:tbl>
      <w:tblPr>
        <w:tblW w:w="12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2120"/>
        <w:gridCol w:w="2120"/>
        <w:gridCol w:w="2120"/>
        <w:gridCol w:w="1060"/>
      </w:tblGrid>
      <w:tr w:rsidR="001E5765" w:rsidRPr="001E5765" w14:paraId="2CFD4E0C" w14:textId="77777777" w:rsidTr="001E5765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19B6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37DA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87B8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Within 3 days after admission (N = 163)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8FB8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eastAsia="ja-JP"/>
              </w:rPr>
              <w:t>≥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 xml:space="preserve">  4 days after admission (N = 72)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58D0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Odds ratio or Hazard ratio (95%CI)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1426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ja-JP"/>
              </w:rPr>
              <w:t>p</w:t>
            </w: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-value</w:t>
            </w:r>
          </w:p>
        </w:tc>
      </w:tr>
      <w:tr w:rsidR="001E5765" w:rsidRPr="001E5765" w14:paraId="1C2D2FCE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FA0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Score of 7-point ordinal scale on Day 15 - no. (%)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A5F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391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EAB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53B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28362A8A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BEA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5407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37B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 (6.1)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DAB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 (6.9)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DB3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0.597 (0.363-0.982)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E2A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0.042</w:t>
            </w:r>
          </w:p>
        </w:tc>
      </w:tr>
      <w:tr w:rsidR="001E5765" w:rsidRPr="001E5765" w14:paraId="53EBD3C7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AC0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5ADC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821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28 (17.2)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645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17 (23.6)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DE6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41F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32DBAA8E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649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D2E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4D1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 (3.1)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6A8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 (4.2)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E06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C8A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0E5197AF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E04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E3B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370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39 (23.9)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AC4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20 (27.8)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600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FCB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1862CAF5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D0D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BD4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9D5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25 (15.3)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D37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12 (16.7)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B46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994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2B5D619B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E46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531A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DB9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26 (16.0)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42B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9 (12.5)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1AD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F60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6D927774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42D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E92E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509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28 (17.2)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AA9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 (6.9)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293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120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57EF835E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8B3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6A03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unknown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D54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 (1.2)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A72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 (1.4)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E47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D77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1521A1FB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8664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Time to PCR negativity of the swab solution - days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6A9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20 [13, 25]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0364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21 [16, 30]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04E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1.479 (1.073-2.039)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934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0.017</w:t>
            </w:r>
          </w:p>
        </w:tc>
      </w:tr>
      <w:tr w:rsidR="001E5765" w:rsidRPr="001E5765" w14:paraId="43966BDD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D141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Duration of fever - days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97DB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10 [4, 19]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A65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11 [7, 16]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51B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0.949 (0.702-1.285)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7641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0.737</w:t>
            </w:r>
          </w:p>
        </w:tc>
      </w:tr>
      <w:tr w:rsidR="001E5765" w:rsidRPr="001E5765" w14:paraId="7322FD01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C55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Invasive mechanical ventilation - no. (%)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76F3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62 (38.0)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0CF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32 (44.4)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0F0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D742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0.355</w:t>
            </w:r>
          </w:p>
        </w:tc>
      </w:tr>
      <w:tr w:rsidR="001E5765" w:rsidRPr="001E5765" w14:paraId="3A8CEC71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FD49" w14:textId="6D8EFA00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Duration of </w:t>
            </w:r>
            <w:r w:rsidR="00CB06B1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invasive </w:t>
            </w: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mechanical ventilation - days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9EF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10.5 [8, 26]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C545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14.5 [8.5, 26]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C9D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1.007 (0.648-1.565)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653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0.975</w:t>
            </w:r>
          </w:p>
        </w:tc>
      </w:tr>
      <w:tr w:rsidR="001E5765" w:rsidRPr="001E5765" w14:paraId="5B379DE6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7AA0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Hospitalization period - days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223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26 [16, 37]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8CD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27 [19, 36]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084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1.057 (0.785-1.424)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474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0.715</w:t>
            </w:r>
          </w:p>
        </w:tc>
      </w:tr>
      <w:tr w:rsidR="001E5765" w:rsidRPr="001E5765" w14:paraId="78F6FFC7" w14:textId="77777777" w:rsidTr="001E5765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6D59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Mortality - no. (%)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E5A5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BD9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0ABE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008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</w:tr>
      <w:tr w:rsidR="001E5765" w:rsidRPr="001E5765" w14:paraId="56EE86C7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7E5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B9F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on Day 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3F8F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 (6.1)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20E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5 (6.9)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EA2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ADE9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0.779</w:t>
            </w:r>
          </w:p>
        </w:tc>
      </w:tr>
      <w:tr w:rsidR="001E5765" w:rsidRPr="001E5765" w14:paraId="608EB0E0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76E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6A5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on Day 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419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18 (11.0)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DC20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10 (13.9)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A026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BA8D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0.520</w:t>
            </w:r>
          </w:p>
        </w:tc>
      </w:tr>
      <w:tr w:rsidR="001E5765" w:rsidRPr="001E5765" w14:paraId="7D83511D" w14:textId="77777777" w:rsidTr="001E576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472BD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2B60B" w14:textId="77777777" w:rsidR="001E5765" w:rsidRPr="001E5765" w:rsidRDefault="001E5765" w:rsidP="001E5765">
            <w:pPr>
              <w:widowControl/>
              <w:suppressAutoHyphens w:val="0"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during the entire observation period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EA7BA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23 (14.1)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55B57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14 (19.4)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E1178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0DB8C" w14:textId="77777777" w:rsidR="001E5765" w:rsidRPr="001E5765" w:rsidRDefault="001E5765" w:rsidP="001E5765">
            <w:pPr>
              <w:widowControl/>
              <w:suppressAutoHyphens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1E576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  <w:lang w:eastAsia="ja-JP"/>
              </w:rPr>
              <w:t>0.333</w:t>
            </w:r>
          </w:p>
        </w:tc>
      </w:tr>
    </w:tbl>
    <w:p w14:paraId="04C94D19" w14:textId="054DD0AA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  <w:bookmarkStart w:id="0" w:name="_Hlk54549800"/>
      <w:r w:rsidRPr="00495561">
        <w:rPr>
          <w:rFonts w:ascii="Times New Roman" w:hAnsi="Times New Roman" w:cs="Times New Roman"/>
          <w:sz w:val="24"/>
          <w:lang w:eastAsia="ja-JP"/>
        </w:rPr>
        <w:t>Categorical variables were presented as numbers (</w:t>
      </w:r>
      <w:r>
        <w:rPr>
          <w:rFonts w:ascii="Times New Roman" w:hAnsi="Times New Roman" w:cs="Times New Roman"/>
          <w:sz w:val="24"/>
          <w:lang w:eastAsia="ja-JP"/>
        </w:rPr>
        <w:t>%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). Continuous variables related to time were presented as median [interquartile ranges]. </w:t>
      </w:r>
      <w:r w:rsidRPr="00522071">
        <w:rPr>
          <w:rFonts w:ascii="Times New Roman" w:hAnsi="Times New Roman" w:cs="Times New Roman"/>
          <w:sz w:val="24"/>
          <w:lang w:eastAsia="ja-JP"/>
        </w:rPr>
        <w:t>Ordinal variables were compared between groups using a proportional odds model.</w:t>
      </w:r>
      <w:r>
        <w:rPr>
          <w:rFonts w:ascii="Times New Roman" w:hAnsi="Times New Roman" w:cs="Times New Roman"/>
          <w:sz w:val="24"/>
          <w:lang w:eastAsia="ja-JP"/>
        </w:rPr>
        <w:t xml:space="preserve"> 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Cox proportional hazards model was used to calculate the hazard ratio and its 95% confidence interval for the treatment effect between groups. A </w:t>
      </w:r>
      <w:r w:rsidRPr="007C108A">
        <w:rPr>
          <w:rFonts w:ascii="Times New Roman" w:hAnsi="Times New Roman"/>
          <w:i/>
          <w:sz w:val="24"/>
        </w:rPr>
        <w:t>p</w:t>
      </w:r>
      <w:r w:rsidRPr="00495561">
        <w:rPr>
          <w:rFonts w:ascii="Times New Roman" w:hAnsi="Times New Roman" w:cs="Times New Roman"/>
          <w:sz w:val="24"/>
          <w:lang w:eastAsia="ja-JP"/>
        </w:rPr>
        <w:t xml:space="preserve"> value of &lt;0.05 was considered statistically significant. </w:t>
      </w:r>
      <w:r>
        <w:rPr>
          <w:rFonts w:ascii="Times New Roman" w:hAnsi="Times New Roman" w:cs="Times New Roman"/>
          <w:sz w:val="24"/>
          <w:lang w:eastAsia="ja-JP"/>
        </w:rPr>
        <w:t xml:space="preserve">CI, confidence interval; </w:t>
      </w:r>
      <w:r w:rsidRPr="00495561">
        <w:rPr>
          <w:rFonts w:ascii="Times New Roman" w:hAnsi="Times New Roman" w:cs="Times New Roman"/>
          <w:sz w:val="24"/>
          <w:lang w:eastAsia="ja-JP"/>
        </w:rPr>
        <w:t>PCR, polymerase chain reaction.</w:t>
      </w:r>
      <w:bookmarkEnd w:id="0"/>
    </w:p>
    <w:p w14:paraId="399F6E1B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</w:pPr>
    </w:p>
    <w:p w14:paraId="344FDA3A" w14:textId="77777777" w:rsidR="005802F6" w:rsidRDefault="005802F6" w:rsidP="005802F6">
      <w:pPr>
        <w:spacing w:line="360" w:lineRule="auto"/>
        <w:jc w:val="left"/>
        <w:rPr>
          <w:rFonts w:ascii="Times New Roman" w:hAnsi="Times New Roman" w:cs="Times New Roman"/>
          <w:sz w:val="24"/>
          <w:lang w:eastAsia="ja-JP"/>
        </w:rPr>
        <w:sectPr w:rsidR="005802F6" w:rsidSect="001E5765">
          <w:pgSz w:w="16838" w:h="11906" w:orient="landscape" w:code="9"/>
          <w:pgMar w:top="1701" w:right="1985" w:bottom="1701" w:left="1701" w:header="851" w:footer="992" w:gutter="0"/>
          <w:lnNumType w:countBy="1"/>
          <w:cols w:space="425"/>
          <w:docGrid w:type="linesAndChars" w:linePitch="360"/>
        </w:sectPr>
      </w:pPr>
    </w:p>
    <w:p w14:paraId="7673A36E" w14:textId="588D2476" w:rsidR="005802F6" w:rsidRPr="003166BA" w:rsidRDefault="000E5E7B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r w:rsidRPr="000E5E7B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lastRenderedPageBreak/>
        <w:t xml:space="preserve">Supplemental </w:t>
      </w:r>
      <w:r w:rsidR="005802F6" w:rsidRPr="003166BA">
        <w:rPr>
          <w:rFonts w:ascii="Times New Roman" w:hAnsi="Times New Roman" w:cs="Times New Roman"/>
          <w:b/>
          <w:bCs/>
          <w:sz w:val="24"/>
          <w:lang w:eastAsia="ja-JP"/>
        </w:rPr>
        <w:t xml:space="preserve">Figure 1. </w:t>
      </w:r>
      <w:r w:rsidR="005802F6" w:rsidRPr="003166BA">
        <w:rPr>
          <w:rFonts w:ascii="Times New Roman" w:hAnsi="Times New Roman"/>
          <w:b/>
          <w:bCs/>
          <w:sz w:val="24"/>
        </w:rPr>
        <w:t xml:space="preserve">Time from </w:t>
      </w:r>
      <w:r w:rsidR="003166BA" w:rsidRPr="003166BA">
        <w:rPr>
          <w:rFonts w:ascii="Times New Roman" w:hAnsi="Times New Roman"/>
          <w:b/>
          <w:bCs/>
          <w:sz w:val="24"/>
        </w:rPr>
        <w:t xml:space="preserve">Admission </w:t>
      </w:r>
      <w:r w:rsidR="005802F6" w:rsidRPr="003166BA">
        <w:rPr>
          <w:rFonts w:ascii="Times New Roman" w:hAnsi="Times New Roman"/>
          <w:b/>
          <w:bCs/>
          <w:sz w:val="24"/>
        </w:rPr>
        <w:t xml:space="preserve">to </w:t>
      </w:r>
      <w:r w:rsidR="003166BA" w:rsidRPr="003166BA">
        <w:rPr>
          <w:rFonts w:ascii="Times New Roman" w:hAnsi="Times New Roman"/>
          <w:b/>
          <w:bCs/>
          <w:sz w:val="24"/>
        </w:rPr>
        <w:t>Tracheal Intubation</w:t>
      </w:r>
    </w:p>
    <w:p w14:paraId="2DA1EA05" w14:textId="54713C70" w:rsidR="00E8335D" w:rsidRDefault="005802F6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bookmarkStart w:id="1" w:name="_Hlk54585764"/>
      <w:r w:rsidRPr="00494F9E">
        <w:rPr>
          <w:rFonts w:ascii="Times New Roman" w:hAnsi="Times New Roman" w:cs="Times New Roman"/>
          <w:sz w:val="24"/>
          <w:lang w:eastAsia="ja-JP"/>
        </w:rPr>
        <w:t>Kaplan</w:t>
      </w:r>
      <w:r>
        <w:rPr>
          <w:rFonts w:ascii="Times New Roman" w:hAnsi="Times New Roman" w:cs="Times New Roman"/>
          <w:sz w:val="24"/>
          <w:lang w:eastAsia="ja-JP"/>
        </w:rPr>
        <w:t>–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Meier curves for </w:t>
      </w:r>
      <w:r>
        <w:rPr>
          <w:rFonts w:ascii="Times New Roman" w:hAnsi="Times New Roman" w:cs="Times New Roman"/>
          <w:sz w:val="24"/>
          <w:lang w:eastAsia="ja-JP"/>
        </w:rPr>
        <w:t>the t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ime </w:t>
      </w:r>
      <w:r>
        <w:rPr>
          <w:rFonts w:ascii="Times New Roman" w:hAnsi="Times New Roman" w:cs="Times New Roman"/>
          <w:sz w:val="24"/>
          <w:lang w:eastAsia="ja-JP"/>
        </w:rPr>
        <w:t>from admission to tracheal intubation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. IQR, interquartile </w:t>
      </w:r>
      <w:r w:rsidR="00E8335D">
        <w:rPr>
          <w:rFonts w:ascii="Times New Roman" w:hAnsi="Times New Roman" w:cs="Times New Roman" w:hint="eastAsia"/>
          <w:sz w:val="24"/>
          <w:lang w:eastAsia="ja-JP"/>
        </w:rPr>
        <w:t>ranges</w:t>
      </w:r>
      <w:r w:rsidRPr="00494F9E">
        <w:rPr>
          <w:rFonts w:ascii="Times New Roman" w:hAnsi="Times New Roman" w:cs="Times New Roman"/>
          <w:sz w:val="24"/>
          <w:lang w:eastAsia="ja-JP"/>
        </w:rPr>
        <w:t>.</w:t>
      </w:r>
      <w:bookmarkEnd w:id="1"/>
    </w:p>
    <w:p w14:paraId="0AC0B9FA" w14:textId="77777777" w:rsidR="00E8335D" w:rsidRDefault="00E8335D" w:rsidP="005802F6">
      <w:pPr>
        <w:spacing w:line="360" w:lineRule="auto"/>
        <w:jc w:val="left"/>
        <w:rPr>
          <w:rFonts w:ascii="Times New Roman" w:hAnsi="Times New Roman" w:cs="Times New Roman" w:hint="eastAsia"/>
          <w:b/>
          <w:bCs/>
          <w:sz w:val="24"/>
          <w:lang w:eastAsia="ja-JP"/>
        </w:rPr>
      </w:pPr>
    </w:p>
    <w:p w14:paraId="7362B8ED" w14:textId="39BCA8FF" w:rsidR="005802F6" w:rsidRPr="003166BA" w:rsidRDefault="000E5E7B" w:rsidP="005802F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eastAsia="ja-JP"/>
        </w:rPr>
      </w:pPr>
      <w:r w:rsidRPr="000E5E7B">
        <w:rPr>
          <w:rFonts w:ascii="Times New Roman" w:hAnsi="Times New Roman" w:cs="Times New Roman"/>
          <w:b/>
          <w:bCs/>
          <w:sz w:val="24"/>
          <w:lang w:eastAsia="ja-JP"/>
        </w:rPr>
        <w:t xml:space="preserve">Supplemental </w:t>
      </w:r>
      <w:r w:rsidR="005802F6" w:rsidRPr="003166BA">
        <w:rPr>
          <w:rFonts w:ascii="Times New Roman" w:hAnsi="Times New Roman" w:cs="Times New Roman"/>
          <w:b/>
          <w:bCs/>
          <w:sz w:val="24"/>
          <w:lang w:eastAsia="ja-JP"/>
        </w:rPr>
        <w:t xml:space="preserve">Figure 2. </w:t>
      </w:r>
      <w:r w:rsidR="005802F6" w:rsidRPr="003166BA">
        <w:rPr>
          <w:rFonts w:ascii="Times New Roman" w:hAnsi="Times New Roman"/>
          <w:b/>
          <w:bCs/>
          <w:sz w:val="24"/>
        </w:rPr>
        <w:t xml:space="preserve">Survival </w:t>
      </w:r>
      <w:r w:rsidR="003166BA" w:rsidRPr="003166BA">
        <w:rPr>
          <w:rFonts w:ascii="Times New Roman" w:hAnsi="Times New Roman"/>
          <w:b/>
          <w:bCs/>
          <w:sz w:val="24"/>
        </w:rPr>
        <w:t>Curve</w:t>
      </w:r>
    </w:p>
    <w:p w14:paraId="130557E1" w14:textId="2E16D2E1" w:rsidR="007B08C4" w:rsidRDefault="005802F6" w:rsidP="00292DE1">
      <w:pPr>
        <w:spacing w:line="360" w:lineRule="auto"/>
        <w:jc w:val="left"/>
      </w:pPr>
      <w:bookmarkStart w:id="2" w:name="_Hlk54551516"/>
      <w:r w:rsidRPr="00494F9E">
        <w:rPr>
          <w:rFonts w:ascii="Times New Roman" w:hAnsi="Times New Roman" w:cs="Times New Roman"/>
          <w:sz w:val="24"/>
          <w:lang w:eastAsia="ja-JP"/>
        </w:rPr>
        <w:t>Kaplan</w:t>
      </w:r>
      <w:r>
        <w:rPr>
          <w:rFonts w:ascii="Times New Roman" w:hAnsi="Times New Roman" w:cs="Times New Roman"/>
          <w:sz w:val="24"/>
          <w:lang w:eastAsia="ja-JP"/>
        </w:rPr>
        <w:t>–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Meier curves for </w:t>
      </w:r>
      <w:bookmarkEnd w:id="2"/>
      <w:r w:rsidRPr="00494F9E">
        <w:rPr>
          <w:rFonts w:ascii="Times New Roman" w:hAnsi="Times New Roman" w:cs="Times New Roman"/>
          <w:sz w:val="24"/>
          <w:lang w:eastAsia="ja-JP"/>
        </w:rPr>
        <w:t xml:space="preserve">survival in the overall population (A), baseline </w:t>
      </w:r>
      <w:r>
        <w:rPr>
          <w:rFonts w:ascii="Times New Roman" w:hAnsi="Times New Roman" w:cs="Times New Roman"/>
          <w:sz w:val="24"/>
          <w:lang w:eastAsia="ja-JP"/>
        </w:rPr>
        <w:t xml:space="preserve">7-point ordinal 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score </w:t>
      </w:r>
      <w:r>
        <w:rPr>
          <w:rFonts w:ascii="Times New Roman" w:hAnsi="Times New Roman" w:cs="Times New Roman"/>
          <w:sz w:val="24"/>
          <w:lang w:eastAsia="ja-JP"/>
        </w:rPr>
        <w:t xml:space="preserve">of </w:t>
      </w:r>
      <w:r w:rsidRPr="00494F9E">
        <w:rPr>
          <w:rFonts w:ascii="Times New Roman" w:hAnsi="Times New Roman" w:cs="Times New Roman"/>
          <w:sz w:val="24"/>
          <w:lang w:eastAsia="ja-JP"/>
        </w:rPr>
        <w:t>2</w:t>
      </w:r>
      <w:r>
        <w:rPr>
          <w:rFonts w:ascii="Times New Roman" w:hAnsi="Times New Roman" w:cs="Times New Roman"/>
          <w:sz w:val="24"/>
          <w:lang w:eastAsia="ja-JP"/>
        </w:rPr>
        <w:t xml:space="preserve"> or 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3 (B), baseline score of </w:t>
      </w:r>
      <w:r>
        <w:rPr>
          <w:rFonts w:ascii="Times New Roman" w:hAnsi="Times New Roman" w:cs="Times New Roman"/>
          <w:sz w:val="24"/>
          <w:lang w:eastAsia="ja-JP"/>
        </w:rPr>
        <w:t>4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lang w:eastAsia="ja-JP"/>
        </w:rPr>
        <w:t>C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), and baseline score </w:t>
      </w:r>
      <w:r>
        <w:rPr>
          <w:rFonts w:ascii="Times New Roman" w:hAnsi="Times New Roman" w:cs="Times New Roman"/>
          <w:sz w:val="24"/>
          <w:lang w:eastAsia="ja-JP"/>
        </w:rPr>
        <w:t>of 5</w:t>
      </w:r>
      <w:r w:rsidRPr="00494F9E">
        <w:rPr>
          <w:rFonts w:ascii="Times New Roman" w:hAnsi="Times New Roman" w:cs="Times New Roman"/>
          <w:sz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lang w:eastAsia="ja-JP"/>
        </w:rPr>
        <w:t>D</w:t>
      </w:r>
      <w:r w:rsidRPr="00494F9E">
        <w:rPr>
          <w:rFonts w:ascii="Times New Roman" w:hAnsi="Times New Roman" w:cs="Times New Roman"/>
          <w:sz w:val="24"/>
          <w:lang w:eastAsia="ja-JP"/>
        </w:rPr>
        <w:t>)</w:t>
      </w:r>
      <w:r>
        <w:rPr>
          <w:rFonts w:ascii="Times New Roman" w:hAnsi="Times New Roman" w:cs="Times New Roman"/>
          <w:sz w:val="24"/>
          <w:lang w:eastAsia="ja-JP"/>
        </w:rPr>
        <w:t>. Because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 only a few patients had a baseline score of 3, </w:t>
      </w:r>
      <w:r>
        <w:rPr>
          <w:rFonts w:ascii="Times New Roman" w:hAnsi="Times New Roman" w:cs="Times New Roman"/>
          <w:sz w:val="24"/>
          <w:lang w:eastAsia="ja-JP"/>
        </w:rPr>
        <w:t xml:space="preserve">the </w:t>
      </w:r>
      <w:r w:rsidRPr="00414685">
        <w:rPr>
          <w:rFonts w:ascii="Times New Roman" w:hAnsi="Times New Roman" w:cs="Times New Roman"/>
          <w:sz w:val="24"/>
          <w:lang w:eastAsia="ja-JP"/>
        </w:rPr>
        <w:t>patients with a baseline score of 2 and 3 we</w:t>
      </w:r>
      <w:r>
        <w:rPr>
          <w:rFonts w:ascii="Times New Roman" w:hAnsi="Times New Roman" w:cs="Times New Roman"/>
          <w:sz w:val="24"/>
          <w:lang w:eastAsia="ja-JP"/>
        </w:rPr>
        <w:t>re</w:t>
      </w:r>
      <w:r w:rsidRPr="00414685">
        <w:rPr>
          <w:rFonts w:ascii="Times New Roman" w:hAnsi="Times New Roman" w:cs="Times New Roman"/>
          <w:sz w:val="24"/>
          <w:lang w:eastAsia="ja-JP"/>
        </w:rPr>
        <w:t xml:space="preserve"> combined for the analysis.</w:t>
      </w:r>
    </w:p>
    <w:sectPr w:rsidR="007B08C4" w:rsidSect="001E5765">
      <w:pgSz w:w="11906" w:h="16838" w:code="9"/>
      <w:pgMar w:top="1985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166A" w14:textId="77777777" w:rsidR="00307C65" w:rsidRDefault="00307C65" w:rsidP="000E5E7B">
      <w:r>
        <w:separator/>
      </w:r>
    </w:p>
  </w:endnote>
  <w:endnote w:type="continuationSeparator" w:id="0">
    <w:p w14:paraId="16E2005C" w14:textId="77777777" w:rsidR="00307C65" w:rsidRDefault="00307C65" w:rsidP="000E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4A49" w14:textId="77777777" w:rsidR="00307C65" w:rsidRDefault="00307C65" w:rsidP="000E5E7B">
      <w:r>
        <w:separator/>
      </w:r>
    </w:p>
  </w:footnote>
  <w:footnote w:type="continuationSeparator" w:id="0">
    <w:p w14:paraId="60D22AA3" w14:textId="77777777" w:rsidR="00307C65" w:rsidRDefault="00307C65" w:rsidP="000E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B49"/>
    <w:multiLevelType w:val="hybridMultilevel"/>
    <w:tmpl w:val="C2CE0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73390"/>
    <w:multiLevelType w:val="hybridMultilevel"/>
    <w:tmpl w:val="600AE876"/>
    <w:lvl w:ilvl="0" w:tplc="91C26172">
      <w:start w:val="1"/>
      <w:numFmt w:val="decimal"/>
      <w:pStyle w:val="a"/>
      <w:lvlText w:val="Remark (%1): 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F6"/>
    <w:rsid w:val="000E5E7B"/>
    <w:rsid w:val="001E5765"/>
    <w:rsid w:val="00251D10"/>
    <w:rsid w:val="00253BFE"/>
    <w:rsid w:val="00292DE1"/>
    <w:rsid w:val="00307C65"/>
    <w:rsid w:val="003166BA"/>
    <w:rsid w:val="00526DBF"/>
    <w:rsid w:val="005802F6"/>
    <w:rsid w:val="006B6E9D"/>
    <w:rsid w:val="007B08C4"/>
    <w:rsid w:val="007C108A"/>
    <w:rsid w:val="00816F33"/>
    <w:rsid w:val="00C26981"/>
    <w:rsid w:val="00CB06B1"/>
    <w:rsid w:val="00CE7D30"/>
    <w:rsid w:val="00E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4A630"/>
  <w15:docId w15:val="{72A13A72-C5BD-4CB9-B126-6E7901A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2F6"/>
    <w:pPr>
      <w:widowControl w:val="0"/>
      <w:suppressAutoHyphens/>
      <w:spacing w:after="0" w:line="240" w:lineRule="auto"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802F6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1"/>
    <w:link w:val="a4"/>
    <w:uiPriority w:val="99"/>
    <w:semiHidden/>
    <w:rsid w:val="005802F6"/>
    <w:rPr>
      <w:rFonts w:ascii="Tahoma" w:eastAsia="ＭＳ 明朝" w:hAnsi="Tahoma" w:cs="Tahoma"/>
      <w:kern w:val="1"/>
      <w:sz w:val="16"/>
      <w:szCs w:val="16"/>
      <w:lang w:eastAsia="ar-SA"/>
    </w:rPr>
  </w:style>
  <w:style w:type="character" w:styleId="a6">
    <w:name w:val="line number"/>
    <w:basedOn w:val="a1"/>
    <w:uiPriority w:val="99"/>
    <w:semiHidden/>
    <w:unhideWhenUsed/>
    <w:rsid w:val="005802F6"/>
  </w:style>
  <w:style w:type="character" w:styleId="a7">
    <w:name w:val="annotation reference"/>
    <w:basedOn w:val="a1"/>
    <w:uiPriority w:val="99"/>
    <w:semiHidden/>
    <w:unhideWhenUsed/>
    <w:rsid w:val="005802F6"/>
    <w:rPr>
      <w:sz w:val="16"/>
      <w:szCs w:val="16"/>
    </w:rPr>
  </w:style>
  <w:style w:type="paragraph" w:styleId="a">
    <w:name w:val="annotation text"/>
    <w:basedOn w:val="a0"/>
    <w:link w:val="a8"/>
    <w:autoRedefine/>
    <w:uiPriority w:val="99"/>
    <w:unhideWhenUsed/>
    <w:qFormat/>
    <w:rsid w:val="005802F6"/>
    <w:pPr>
      <w:widowControl/>
      <w:numPr>
        <w:numId w:val="1"/>
      </w:numPr>
      <w:suppressAutoHyphens w:val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8">
    <w:name w:val="コメント文字列 (文字)"/>
    <w:basedOn w:val="a1"/>
    <w:link w:val="a"/>
    <w:uiPriority w:val="99"/>
    <w:rsid w:val="005802F6"/>
    <w:rPr>
      <w:rFonts w:eastAsiaTheme="minorHAnsi"/>
      <w:sz w:val="20"/>
      <w:szCs w:val="20"/>
      <w:lang w:eastAsia="en-US"/>
    </w:rPr>
  </w:style>
  <w:style w:type="paragraph" w:styleId="a9">
    <w:name w:val="header"/>
    <w:basedOn w:val="a0"/>
    <w:link w:val="aa"/>
    <w:uiPriority w:val="99"/>
    <w:unhideWhenUsed/>
    <w:rsid w:val="000E5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0E5E7B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b">
    <w:name w:val="footer"/>
    <w:basedOn w:val="a0"/>
    <w:link w:val="ac"/>
    <w:uiPriority w:val="99"/>
    <w:unhideWhenUsed/>
    <w:rsid w:val="000E5E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0E5E7B"/>
    <w:rPr>
      <w:rFonts w:ascii="Century" w:eastAsia="ＭＳ 明朝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池田 慧</cp:lastModifiedBy>
  <cp:revision>12</cp:revision>
  <dcterms:created xsi:type="dcterms:W3CDTF">2020-10-29T11:06:00Z</dcterms:created>
  <dcterms:modified xsi:type="dcterms:W3CDTF">2020-11-09T03:14:00Z</dcterms:modified>
</cp:coreProperties>
</file>