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41" w:rsidRPr="00AE4B96" w:rsidRDefault="00E11B41" w:rsidP="00E11B41">
      <w:pPr>
        <w:spacing w:after="0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</w:pPr>
      <w:r w:rsidRPr="00AE4B96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  <w:t xml:space="preserve">Linking metabolites in eight bioactive forage species to their </w:t>
      </w:r>
      <w:r w:rsidRPr="00AE4B96">
        <w:rPr>
          <w:rFonts w:ascii="Times New Roman" w:eastAsiaTheme="majorEastAsia" w:hAnsi="Times New Roman" w:cs="Times New Roman"/>
          <w:b/>
          <w:i/>
          <w:spacing w:val="-10"/>
          <w:kern w:val="28"/>
          <w:sz w:val="32"/>
          <w:szCs w:val="32"/>
        </w:rPr>
        <w:t>in vitro</w:t>
      </w:r>
      <w:r w:rsidRPr="00AE4B96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  <w:t xml:space="preserve"> methane reduction potential across several cultivars and harvests </w:t>
      </w:r>
    </w:p>
    <w:p w:rsidR="00E11B41" w:rsidRDefault="00E11B41" w:rsidP="00E11B41">
      <w:pPr>
        <w:spacing w:after="0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:rsidR="00E11B41" w:rsidRPr="00AE4B96" w:rsidRDefault="00E11B41" w:rsidP="00E11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B96">
        <w:rPr>
          <w:rFonts w:ascii="Times New Roman" w:hAnsi="Times New Roman" w:cs="Times New Roman"/>
          <w:sz w:val="24"/>
          <w:szCs w:val="24"/>
        </w:rPr>
        <w:t xml:space="preserve">Supriya Verma </w:t>
      </w:r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AE4B96">
        <w:rPr>
          <w:rFonts w:ascii="Times New Roman" w:hAnsi="Times New Roman" w:cs="Times New Roman"/>
          <w:sz w:val="24"/>
          <w:szCs w:val="24"/>
        </w:rPr>
        <w:t xml:space="preserve">, Siegfried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Wolffram</w:t>
      </w:r>
      <w:proofErr w:type="spellEnd"/>
      <w:r w:rsidRPr="00AE4B96">
        <w:rPr>
          <w:rFonts w:ascii="Times New Roman" w:hAnsi="Times New Roman" w:cs="Times New Roman"/>
          <w:sz w:val="24"/>
          <w:szCs w:val="24"/>
        </w:rPr>
        <w:t xml:space="preserve"> </w:t>
      </w:r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Juha-Pekka</w:t>
      </w:r>
      <w:proofErr w:type="spellEnd"/>
      <w:r w:rsidRPr="00A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Salminen</w:t>
      </w:r>
      <w:proofErr w:type="spellEnd"/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AE4B96">
        <w:rPr>
          <w:rFonts w:ascii="Times New Roman" w:hAnsi="Times New Roman" w:cs="Times New Roman"/>
          <w:sz w:val="24"/>
          <w:szCs w:val="24"/>
        </w:rPr>
        <w:t>, Mario Hasler</w:t>
      </w:r>
      <w:r w:rsidRPr="00AE4B96">
        <w:rPr>
          <w:rFonts w:ascii="Times New Roman" w:hAnsi="Times New Roman" w:cs="Times New Roman"/>
          <w:sz w:val="24"/>
          <w:szCs w:val="24"/>
          <w:vertAlign w:val="superscript"/>
          <w:lang w:val="en-DE"/>
        </w:rPr>
        <w:t>4</w:t>
      </w:r>
      <w:r w:rsidRPr="00AE4B96">
        <w:rPr>
          <w:rFonts w:ascii="Times New Roman" w:hAnsi="Times New Roman" w:cs="Times New Roman"/>
          <w:sz w:val="24"/>
          <w:szCs w:val="24"/>
          <w:lang w:val="en-DE"/>
        </w:rPr>
        <w:t xml:space="preserve">, </w:t>
      </w:r>
      <w:r w:rsidRPr="00AE4B96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Susenbeth</w:t>
      </w:r>
      <w:proofErr w:type="spellEnd"/>
      <w:r w:rsidRPr="00AE4B96">
        <w:rPr>
          <w:rFonts w:ascii="Times New Roman" w:hAnsi="Times New Roman" w:cs="Times New Roman"/>
          <w:sz w:val="24"/>
          <w:szCs w:val="24"/>
        </w:rPr>
        <w:t xml:space="preserve"> </w:t>
      </w:r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96">
        <w:rPr>
          <w:rFonts w:ascii="Times New Roman" w:hAnsi="Times New Roman" w:cs="Times New Roman"/>
          <w:sz w:val="24"/>
          <w:szCs w:val="24"/>
        </w:rPr>
        <w:t xml:space="preserve">, Ralf Blank </w:t>
      </w:r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Friedhelm</w:t>
      </w:r>
      <w:proofErr w:type="spellEnd"/>
      <w:r w:rsidRPr="00AE4B96">
        <w:rPr>
          <w:rFonts w:ascii="Times New Roman" w:hAnsi="Times New Roman" w:cs="Times New Roman"/>
          <w:sz w:val="24"/>
          <w:szCs w:val="24"/>
        </w:rPr>
        <w:t xml:space="preserve"> Taube </w:t>
      </w:r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AE4B96">
        <w:rPr>
          <w:rFonts w:ascii="Times New Roman" w:hAnsi="Times New Roman" w:cs="Times New Roman"/>
          <w:sz w:val="24"/>
          <w:szCs w:val="24"/>
          <w:vertAlign w:val="superscript"/>
          <w:lang w:val="en-DE"/>
        </w:rPr>
        <w:t>5</w:t>
      </w:r>
      <w:r w:rsidRPr="00AE4B96">
        <w:rPr>
          <w:rFonts w:ascii="Times New Roman" w:hAnsi="Times New Roman" w:cs="Times New Roman"/>
          <w:sz w:val="24"/>
          <w:szCs w:val="24"/>
        </w:rPr>
        <w:t xml:space="preserve">, , Christof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Kluß</w:t>
      </w:r>
      <w:proofErr w:type="spellEnd"/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AE4B96">
        <w:rPr>
          <w:rFonts w:ascii="Times New Roman" w:hAnsi="Times New Roman" w:cs="Times New Roman"/>
          <w:sz w:val="24"/>
          <w:szCs w:val="24"/>
        </w:rPr>
        <w:t xml:space="preserve"> and Carsten Stefan </w:t>
      </w:r>
      <w:proofErr w:type="spellStart"/>
      <w:r w:rsidRPr="00AE4B96">
        <w:rPr>
          <w:rFonts w:ascii="Times New Roman" w:hAnsi="Times New Roman" w:cs="Times New Roman"/>
          <w:sz w:val="24"/>
          <w:szCs w:val="24"/>
        </w:rPr>
        <w:t>Malisch</w:t>
      </w:r>
      <w:proofErr w:type="spellEnd"/>
      <w:r w:rsidRPr="00AE4B96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AE4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41" w:rsidRPr="00AE4B96" w:rsidRDefault="00E11B41" w:rsidP="00E11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B41" w:rsidRPr="00AE4B96" w:rsidRDefault="00E11B41" w:rsidP="00E11B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4B9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E4B96">
        <w:rPr>
          <w:rFonts w:ascii="Times New Roman" w:hAnsi="Times New Roman" w:cs="Times New Roman"/>
          <w:sz w:val="20"/>
          <w:szCs w:val="20"/>
        </w:rPr>
        <w:t>Institute of Plant Production and Plant Breeding, Grass and Forage Science/Organic Agriculture, Kiel University (CAU), 24118 Kiel, Germany</w:t>
      </w:r>
    </w:p>
    <w:p w:rsidR="00E11B41" w:rsidRPr="00AE4B96" w:rsidRDefault="00E11B41" w:rsidP="00E11B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4B9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E4B96">
        <w:rPr>
          <w:rFonts w:ascii="Times New Roman" w:hAnsi="Times New Roman" w:cs="Times New Roman"/>
          <w:sz w:val="20"/>
          <w:szCs w:val="20"/>
        </w:rPr>
        <w:t xml:space="preserve">Institute of Animal Nutrition and Physiology, Kiel University (CAU), 24118 Kiel, Germany; </w:t>
      </w:r>
    </w:p>
    <w:p w:rsidR="00E11B41" w:rsidRPr="00AE4B96" w:rsidRDefault="00E11B41" w:rsidP="00E11B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4B9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E4B96">
        <w:rPr>
          <w:rFonts w:ascii="Times New Roman" w:hAnsi="Times New Roman" w:cs="Times New Roman"/>
          <w:sz w:val="20"/>
          <w:szCs w:val="20"/>
        </w:rPr>
        <w:t xml:space="preserve"> Natural Chemistry Research Group, Department of Chemistry, University of Turku, </w:t>
      </w:r>
      <w:proofErr w:type="spellStart"/>
      <w:r w:rsidRPr="00AE4B96">
        <w:rPr>
          <w:rFonts w:ascii="Times New Roman" w:hAnsi="Times New Roman" w:cs="Times New Roman"/>
          <w:sz w:val="20"/>
          <w:szCs w:val="20"/>
        </w:rPr>
        <w:t>Vatselankatu</w:t>
      </w:r>
      <w:proofErr w:type="spellEnd"/>
      <w:r w:rsidRPr="00AE4B96">
        <w:rPr>
          <w:rFonts w:ascii="Times New Roman" w:hAnsi="Times New Roman" w:cs="Times New Roman"/>
          <w:sz w:val="20"/>
          <w:szCs w:val="20"/>
        </w:rPr>
        <w:t xml:space="preserve"> 2, FI-20014 Turku, Finland</w:t>
      </w:r>
    </w:p>
    <w:p w:rsidR="00E11B41" w:rsidRPr="00AE4B96" w:rsidRDefault="00E11B41" w:rsidP="00E11B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4B96">
        <w:rPr>
          <w:rFonts w:ascii="Times New Roman" w:hAnsi="Times New Roman" w:cs="Times New Roman"/>
          <w:sz w:val="20"/>
          <w:szCs w:val="20"/>
          <w:vertAlign w:val="superscript"/>
          <w:lang w:val="en-DE"/>
        </w:rPr>
        <w:t>4</w:t>
      </w:r>
      <w:r w:rsidRPr="00AE4B96">
        <w:rPr>
          <w:rFonts w:ascii="Times New Roman" w:hAnsi="Times New Roman" w:cs="Times New Roman"/>
          <w:sz w:val="20"/>
          <w:szCs w:val="20"/>
        </w:rPr>
        <w:t>Department of Statistics, Kiel University (CAU), 24118 Kiel, Germany</w:t>
      </w:r>
    </w:p>
    <w:p w:rsidR="00E11B41" w:rsidRPr="00AE4B96" w:rsidRDefault="00E11B41" w:rsidP="00E11B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4B96">
        <w:rPr>
          <w:rFonts w:ascii="Times New Roman" w:hAnsi="Times New Roman" w:cs="Times New Roman"/>
          <w:sz w:val="20"/>
          <w:szCs w:val="20"/>
          <w:vertAlign w:val="superscript"/>
          <w:lang w:val="en-DE"/>
        </w:rPr>
        <w:t>5</w:t>
      </w:r>
      <w:r w:rsidRPr="00AE4B96">
        <w:rPr>
          <w:rFonts w:ascii="Times New Roman" w:hAnsi="Times New Roman" w:cs="Times New Roman"/>
          <w:sz w:val="20"/>
          <w:szCs w:val="20"/>
        </w:rPr>
        <w:t>Grass Based Dairy Systems, Animal Production Systems Group, Wageningen University (WUR), 6705 Wageningen, The Netherlands</w:t>
      </w:r>
    </w:p>
    <w:p w:rsidR="00AE4B96" w:rsidRDefault="00AE4B96" w:rsidP="00E1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B96" w:rsidRDefault="00AE4B96" w:rsidP="00E1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B96" w:rsidRPr="00AE4B96" w:rsidRDefault="00AE4B96" w:rsidP="00E1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B41" w:rsidRDefault="00E11B41" w:rsidP="00E11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Corresponding author: </w:t>
      </w:r>
      <w:r w:rsidR="00AE4B96" w:rsidRPr="00AE4B96">
        <w:rPr>
          <w:rFonts w:ascii="Times New Roman" w:hAnsi="Times New Roman" w:cs="Times New Roman"/>
          <w:sz w:val="24"/>
          <w:szCs w:val="24"/>
        </w:rPr>
        <w:t>Email address:</w:t>
      </w:r>
      <w:r w:rsidR="00AE4B96">
        <w:rPr>
          <w:rFonts w:ascii="Times New Roman" w:hAnsi="Times New Roman" w:cs="Times New Roman"/>
          <w:sz w:val="24"/>
          <w:szCs w:val="24"/>
          <w:lang w:val="en-DE"/>
        </w:rPr>
        <w:t xml:space="preserve"> </w:t>
      </w:r>
      <w:r w:rsidR="00AE4B96" w:rsidRPr="00AE4B96">
        <w:rPr>
          <w:rFonts w:ascii="Times New Roman" w:hAnsi="Times New Roman" w:cs="Times New Roman"/>
          <w:sz w:val="24"/>
          <w:szCs w:val="24"/>
          <w:lang w:val="en-DE"/>
        </w:rPr>
        <w:t>sverma@gfo.uni-kiel.de</w:t>
      </w:r>
      <w:r w:rsidR="00AE4B96">
        <w:rPr>
          <w:rFonts w:ascii="Times New Roman" w:hAnsi="Times New Roman" w:cs="Times New Roman"/>
          <w:sz w:val="24"/>
          <w:szCs w:val="24"/>
          <w:lang w:val="en-DE"/>
        </w:rPr>
        <w:t>, 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4B96" w:rsidRPr="00AE4B96">
        <w:rPr>
          <w:rFonts w:ascii="Times New Roman" w:hAnsi="Times New Roman" w:cs="Times New Roman"/>
          <w:sz w:val="24"/>
          <w:szCs w:val="24"/>
        </w:rPr>
        <w:t>+49 431 880 2137</w:t>
      </w:r>
    </w:p>
    <w:p w:rsidR="00E11B41" w:rsidRDefault="00E11B41" w:rsidP="00E11B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E4B96" w:rsidRDefault="00AE4B96" w:rsidP="00E11B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AE4B96">
          <w:pgSz w:w="11906" w:h="16838"/>
          <w:pgMar w:top="1440" w:right="1440" w:bottom="1440" w:left="1440" w:header="708" w:footer="708" w:gutter="0"/>
          <w:cols w:space="720"/>
        </w:sectPr>
      </w:pPr>
    </w:p>
    <w:p w:rsidR="00920146" w:rsidRPr="00920146" w:rsidRDefault="000F1F83" w:rsidP="00920146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0F1F83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lastRenderedPageBreak/>
        <w:t xml:space="preserve">Supplementary </w:t>
      </w:r>
      <w:r w:rsidR="00920146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Table </w:t>
      </w:r>
      <w:r w:rsidR="00920146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>S</w:t>
      </w:r>
      <w:r w:rsidR="00B97496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 xml:space="preserve">1. </w:t>
      </w:r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Gas production from different species and cultivars across the two harvests with and without PEG treatments</w:t>
      </w:r>
      <w:r w:rsid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</w:t>
      </w:r>
      <w:r w:rsidR="00B97496" w:rsidRP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and the reduction potential of the tested cultivars with respect to control</w:t>
      </w:r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. </w:t>
      </w:r>
      <w:proofErr w:type="spellStart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Red_MS</w:t>
      </w:r>
      <w:proofErr w:type="spellEnd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the reduction in gas production from the cultivar when compared with </w:t>
      </w:r>
      <w:proofErr w:type="spellStart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lucerne</w:t>
      </w:r>
      <w:proofErr w:type="spellEnd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, </w:t>
      </w:r>
      <w:proofErr w:type="spellStart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Red_PEG</w:t>
      </w:r>
      <w:proofErr w:type="spellEnd"/>
      <w:r w:rsid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reduction in gas production from the cultivar in the absence of polyethylene glycol (PEG, a tannin binding agent) compared to the treatment</w:t>
      </w:r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with the addition of PEG (+PEG)</w:t>
      </w:r>
    </w:p>
    <w:tbl>
      <w:tblPr>
        <w:tblW w:w="14074" w:type="dxa"/>
        <w:tblInd w:w="-607" w:type="dxa"/>
        <w:tblLook w:val="04A0" w:firstRow="1" w:lastRow="0" w:firstColumn="1" w:lastColumn="0" w:noHBand="0" w:noVBand="1"/>
      </w:tblPr>
      <w:tblGrid>
        <w:gridCol w:w="1741"/>
        <w:gridCol w:w="1194"/>
        <w:gridCol w:w="1783"/>
        <w:gridCol w:w="1655"/>
        <w:gridCol w:w="1038"/>
        <w:gridCol w:w="1134"/>
        <w:gridCol w:w="255"/>
        <w:gridCol w:w="1446"/>
        <w:gridCol w:w="1701"/>
        <w:gridCol w:w="993"/>
        <w:gridCol w:w="1134"/>
      </w:tblGrid>
      <w:tr w:rsidR="008E1736" w:rsidRPr="008E1736" w:rsidTr="00920146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Cultivar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1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2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+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+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46" w:rsidRPr="008E1736" w:rsidRDefault="00920146" w:rsidP="009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Plumato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47.93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Spadona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54.42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53.40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Grimaldi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31.27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Sudda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26.26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Bull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45.25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47.67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Lotar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45.47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49.26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Rocco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43.40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 29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27.54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Wild type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31.27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41.63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Lucerne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Galaxy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45.17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CPI 63750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42.81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49.29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Esky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38.74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Visnovsky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36.89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45.44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Svatojansky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32.46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33.33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PI 308861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38.48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</w:tr>
      <w:tr w:rsidR="00920146" w:rsidRPr="008E1736" w:rsidTr="0092014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Sang 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44.28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49.98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36" w:rsidRPr="008E1736" w:rsidRDefault="008E1736" w:rsidP="008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</w:tbl>
    <w:p w:rsidR="00814589" w:rsidRDefault="00814589"/>
    <w:p w:rsidR="00EC3E1D" w:rsidRDefault="00EC3E1D"/>
    <w:p w:rsidR="00EC3E1D" w:rsidRDefault="00EC3E1D"/>
    <w:p w:rsidR="00EC3E1D" w:rsidRDefault="00EC3E1D"/>
    <w:p w:rsidR="00EC3E1D" w:rsidRDefault="00EC3E1D"/>
    <w:p w:rsidR="00EC3E1D" w:rsidRDefault="00EC3E1D"/>
    <w:p w:rsidR="00EC3E1D" w:rsidRDefault="00EC3E1D"/>
    <w:p w:rsidR="00EC3E1D" w:rsidRPr="00920146" w:rsidRDefault="000F1F83" w:rsidP="00EC3E1D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0F1F83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 xml:space="preserve">Supplementary </w:t>
      </w:r>
      <w:r w:rsidR="00EC3E1D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Table </w:t>
      </w:r>
      <w:r w:rsidR="00EC3E1D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>S</w:t>
      </w:r>
      <w:r w:rsid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>2</w:t>
      </w:r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.</w:t>
      </w:r>
      <w:r w:rsidR="00EC3E1D" w:rsidRP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</w:t>
      </w:r>
      <w:bookmarkStart w:id="0" w:name="_Hlk87607879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Methane production from different species and cultivars across the two harvests with and without PEG treatments</w:t>
      </w:r>
      <w:r w:rsid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</w:t>
      </w:r>
      <w:r w:rsidR="00B97496" w:rsidRP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and the reduction potential of the tested cultivars with respect to control</w:t>
      </w:r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. </w:t>
      </w:r>
      <w:bookmarkEnd w:id="0"/>
      <w:proofErr w:type="spellStart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Red_MS</w:t>
      </w:r>
      <w:proofErr w:type="spellEnd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the reduction in methane production from the cultivar when compared with </w:t>
      </w:r>
      <w:proofErr w:type="spellStart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lucerne</w:t>
      </w:r>
      <w:proofErr w:type="spellEnd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, </w:t>
      </w:r>
      <w:proofErr w:type="spellStart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Red_PEG</w:t>
      </w:r>
      <w:proofErr w:type="spellEnd"/>
      <w:r w:rsidR="00EC3E1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reduction in methane production from the cultivar in the absence of polyethylene glycol (PEG, a tannin binding agent) compared to the treatment with the addition of PEG (+PEG)</w:t>
      </w:r>
    </w:p>
    <w:tbl>
      <w:tblPr>
        <w:tblW w:w="14220" w:type="dxa"/>
        <w:tblInd w:w="-753" w:type="dxa"/>
        <w:tblLook w:val="04A0" w:firstRow="1" w:lastRow="0" w:firstColumn="1" w:lastColumn="0" w:noHBand="0" w:noVBand="1"/>
      </w:tblPr>
      <w:tblGrid>
        <w:gridCol w:w="1560"/>
        <w:gridCol w:w="1194"/>
        <w:gridCol w:w="1586"/>
        <w:gridCol w:w="1614"/>
        <w:gridCol w:w="1276"/>
        <w:gridCol w:w="1134"/>
        <w:gridCol w:w="255"/>
        <w:gridCol w:w="1446"/>
        <w:gridCol w:w="1701"/>
        <w:gridCol w:w="1134"/>
        <w:gridCol w:w="1320"/>
      </w:tblGrid>
      <w:tr w:rsidR="00EC3E1D" w:rsidRPr="00EC3E1D" w:rsidTr="00EC3E1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Cultivar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1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2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EC3E1D" w:rsidRPr="008E1736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+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EC3E1D" w:rsidRPr="008E1736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8E1736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8E1736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EC3E1D" w:rsidRPr="008E1736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(ml/200mg DM)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Plumato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9.51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Spadona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10.51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Grimaldi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7.28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Sudda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Bull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10.91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Lotar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Rocco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9.85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 29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6.79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Wild type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Lucerne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Galaxy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10.80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CPI 63750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9.44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Esky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8.55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Visnovsky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PLA60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Svatojansky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5.59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PI 308861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7.93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</w:tr>
      <w:tr w:rsidR="00EC3E1D" w:rsidRPr="00EC3E1D" w:rsidTr="00EC3E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Sang 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</w:tr>
    </w:tbl>
    <w:p w:rsidR="00EC3E1D" w:rsidRDefault="00EC3E1D"/>
    <w:p w:rsidR="00EC3E1D" w:rsidRDefault="00EC3E1D"/>
    <w:p w:rsidR="00EC3E1D" w:rsidRDefault="00EC3E1D"/>
    <w:p w:rsidR="00581EE7" w:rsidRPr="00920146" w:rsidRDefault="000F1F83" w:rsidP="00581EE7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lastRenderedPageBreak/>
        <w:t>Supplementary T</w:t>
      </w:r>
      <w:r w:rsidR="00581EE7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able </w:t>
      </w:r>
      <w:r w:rsidR="00581EE7" w:rsidRPr="00EC3E1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>S</w:t>
      </w:r>
      <w:r w:rsidR="00581EE7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val="en-DE"/>
        </w:rPr>
        <w:t>3</w:t>
      </w:r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.</w:t>
      </w:r>
      <w:r w:rsidR="00581EE7" w:rsidRPr="0092014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</w:t>
      </w:r>
      <w:bookmarkStart w:id="1" w:name="_Hlk87607892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Methane p</w:t>
      </w:r>
      <w:proofErr w:type="spellStart"/>
      <w:r w:rsidR="0020230C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ercentage</w:t>
      </w:r>
      <w:proofErr w:type="spellEnd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in total gas (MP) from different species and cultivars across the two harvests with and without PEG treatments</w:t>
      </w:r>
      <w:r w:rsid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</w:t>
      </w:r>
      <w:r w:rsidR="00B97496" w:rsidRPr="00B97496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and the reduction potential of the tested cultivars with respect to control</w:t>
      </w:r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. </w:t>
      </w:r>
      <w:bookmarkEnd w:id="1"/>
      <w:proofErr w:type="spellStart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Red_MS</w:t>
      </w:r>
      <w:proofErr w:type="spellEnd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the reduction in MP from the cultivar when compared with </w:t>
      </w:r>
      <w:proofErr w:type="spellStart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lucerne</w:t>
      </w:r>
      <w:proofErr w:type="spellEnd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, </w:t>
      </w:r>
      <w:proofErr w:type="spellStart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Red_PEG</w:t>
      </w:r>
      <w:proofErr w:type="spellEnd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refers to reduction in MP from the cultivar in the absence of polyethylene glycol (</w:t>
      </w:r>
      <w:r w:rsidR="0020230C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-PEG</w:t>
      </w:r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>)</w:t>
      </w:r>
      <w:bookmarkStart w:id="2" w:name="_GoBack"/>
      <w:bookmarkEnd w:id="2"/>
      <w:r w:rsidR="00581EE7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DE"/>
        </w:rPr>
        <w:t xml:space="preserve"> compared to the treatment with the addition of PEG (+PEG)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560"/>
        <w:gridCol w:w="1194"/>
        <w:gridCol w:w="1641"/>
        <w:gridCol w:w="1701"/>
        <w:gridCol w:w="992"/>
        <w:gridCol w:w="1134"/>
        <w:gridCol w:w="397"/>
        <w:gridCol w:w="1304"/>
        <w:gridCol w:w="1701"/>
        <w:gridCol w:w="992"/>
        <w:gridCol w:w="1276"/>
      </w:tblGrid>
      <w:tr w:rsidR="00EC3E1D" w:rsidRPr="00EC3E1D" w:rsidTr="00581EE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Cultivar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1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Harvest 2</w:t>
            </w:r>
          </w:p>
        </w:tc>
      </w:tr>
      <w:tr w:rsidR="0020230C" w:rsidRPr="00EC3E1D" w:rsidTr="00581EE7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30C" w:rsidRPr="00EC3E1D" w:rsidRDefault="0020230C" w:rsidP="0020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30C" w:rsidRPr="00EC3E1D" w:rsidRDefault="0020230C" w:rsidP="0020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%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+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%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Pr="00EC3E1D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Pr="00EC3E1D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E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-PEG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%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+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PEG </w:t>
            </w:r>
          </w:p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DE" w:eastAsia="en-GB"/>
              </w:rPr>
              <w:t>%</w:t>
            </w:r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Red_MS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30C" w:rsidRPr="008E1736" w:rsidRDefault="0020230C" w:rsidP="0020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Red_PEG</w:t>
            </w:r>
            <w:proofErr w:type="spellEnd"/>
            <w:r w:rsidRPr="008E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Plumato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Chicory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Spadona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Grimaldi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Sudda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Bull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Lotar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Birdsfoot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Rocco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Lot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Big trefoil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Wild type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Lucerne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Galaxy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CPI 63750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Esky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Sainfoin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Visnovsky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Plantain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Svatojansky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PI 308861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-12</w:t>
            </w:r>
          </w:p>
        </w:tc>
      </w:tr>
      <w:tr w:rsidR="00EC3E1D" w:rsidRPr="00EC3E1D" w:rsidTr="00581EE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Salad burnet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Sang 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1D" w:rsidRPr="00EC3E1D" w:rsidRDefault="00EC3E1D" w:rsidP="00E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C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-7</w:t>
            </w:r>
          </w:p>
        </w:tc>
      </w:tr>
    </w:tbl>
    <w:p w:rsidR="00EC3E1D" w:rsidRDefault="00EC3E1D"/>
    <w:sectPr w:rsidR="00EC3E1D" w:rsidSect="009201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1"/>
    <w:rsid w:val="000F1F83"/>
    <w:rsid w:val="0020230C"/>
    <w:rsid w:val="00581EE7"/>
    <w:rsid w:val="00814589"/>
    <w:rsid w:val="008E1736"/>
    <w:rsid w:val="00920146"/>
    <w:rsid w:val="00AE4B96"/>
    <w:rsid w:val="00B97496"/>
    <w:rsid w:val="00D8758E"/>
    <w:rsid w:val="00E11B41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6879"/>
  <w15:chartTrackingRefBased/>
  <w15:docId w15:val="{D5EBE401-7990-4B13-9EE8-1CEB320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B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201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</dc:creator>
  <cp:keywords/>
  <dc:description/>
  <cp:lastModifiedBy>Supriya</cp:lastModifiedBy>
  <cp:revision>4</cp:revision>
  <dcterms:created xsi:type="dcterms:W3CDTF">2021-11-11T14:23:00Z</dcterms:created>
  <dcterms:modified xsi:type="dcterms:W3CDTF">2021-11-29T11:33:00Z</dcterms:modified>
</cp:coreProperties>
</file>