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等线" w:cs="Times New Roman"/>
          <w:color w:val="000000"/>
          <w:kern w:val="0"/>
          <w:sz w:val="13"/>
          <w:szCs w:val="13"/>
          <w:lang w:val="en-US" w:eastAsia="zh-CN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Supplementary Table1</w:t>
      </w:r>
      <w:r>
        <w:rPr>
          <w:rFonts w:ascii="Times New Roman" w:hAnsi="Times New Roman" w:cs="Times New Roman"/>
          <w:b/>
          <w:sz w:val="18"/>
          <w:szCs w:val="18"/>
        </w:rPr>
        <w:t>. The characteristics of all included eligible studies</w:t>
      </w:r>
    </w:p>
    <w:tbl>
      <w:tblPr>
        <w:tblStyle w:val="4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590"/>
        <w:gridCol w:w="1536"/>
        <w:gridCol w:w="2109"/>
        <w:gridCol w:w="1526"/>
        <w:gridCol w:w="1384"/>
        <w:gridCol w:w="4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3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Author, publication year, country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Study name</w:t>
            </w:r>
          </w:p>
        </w:tc>
        <w:tc>
          <w:tcPr>
            <w:tcW w:w="1536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Study design (mean follow-up)</w:t>
            </w:r>
          </w:p>
        </w:tc>
        <w:tc>
          <w:tcPr>
            <w:tcW w:w="210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Study size, gender, age, number of cases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in cohort;number of cases and control in case control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Dietary assessment</w:t>
            </w:r>
          </w:p>
        </w:tc>
        <w:tc>
          <w:tcPr>
            <w:tcW w:w="13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Exposure</w:t>
            </w:r>
          </w:p>
        </w:tc>
        <w:tc>
          <w:tcPr>
            <w:tcW w:w="419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Adjustment for confounders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38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Vogtmann E et al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，2013，China</w:t>
            </w:r>
          </w:p>
        </w:tc>
        <w:tc>
          <w:tcPr>
            <w:tcW w:w="1590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Shanghai Women's Health Study (SWHS)</w:t>
            </w:r>
          </w:p>
        </w:tc>
        <w:tc>
          <w:tcPr>
            <w:tcW w:w="1536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Prospective cohort (11.2 years)</w:t>
            </w:r>
          </w:p>
        </w:tc>
        <w:tc>
          <w:tcPr>
            <w:tcW w:w="2109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72 966 women,age 40–70 years,139 HCC cases </w:t>
            </w:r>
          </w:p>
        </w:tc>
        <w:tc>
          <w:tcPr>
            <w:tcW w:w="1526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77 food items</w:t>
            </w:r>
          </w:p>
        </w:tc>
        <w:tc>
          <w:tcPr>
            <w:tcW w:w="138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index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Carbohydrate</w:t>
            </w:r>
          </w:p>
        </w:tc>
        <w:tc>
          <w:tcPr>
            <w:tcW w:w="4198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age, education, income, smoking status, alcohol consumption, menopausal status (women only), family history of liver cancer, BMI,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physical activity, total energy intake, and history of diabetes and hepatitis/chronic liver disease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Vogtmann E et al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，2013，China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Shanghai Men's Health Study (SMHS)</w:t>
            </w:r>
          </w:p>
        </w:tc>
        <w:tc>
          <w:tcPr>
            <w:tcW w:w="1536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Prospective cohort (5.3 years)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60 207 men,age 40–74 years,208 HCC cases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81 food items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Glycemc index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Carbohydrate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age, education, income, smoking status, alcohol consumption, menopausal status (women only), family history of liver cancer, BMI,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physical activity, total energy intake, and history of diabetes and hepatitis/chronic liver disease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Hu J et al,2013,Canada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the National Enhanced Cancer Surveillance System (NECSS)</w:t>
            </w:r>
          </w:p>
        </w:tc>
        <w:tc>
          <w:tcPr>
            <w:tcW w:w="1536" w:type="dxa"/>
            <w:tcBorders>
              <w:top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Hospital-based case–control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2547 men and 2492 women,age 20-76 years,309 HCC cases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69 food items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index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age, province, education, body mass index (BMI), alcohol consumption, pack-year smoking and energy intake (non-carbohydrate and alcohol)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Fedirko V et al,2013,West-Europe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European Prospective Investigation into Cancer and Nutrition (EPIC) study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Prospective cohort (an average of 11.4 years)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142 194 men and 335 012 women,191 HCC cases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index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Carbohydrate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age, sex, center, total energy intake,sex-specific physical activity level, education, body mass index , smoking status and intensity ,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self-reported diabetes status, baseline alcohol intake and lifetime alcohol intake pattern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Rossi M et al,2009,Italy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Hospital-based case–control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185 HCC cases and 412 controls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63 food items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sex, quinquennia of age and study center,years of education, tobacco smoking , alcohol consumption, and energy intake without alcohol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and carbohydrates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Lagiou P et al,2009,Athens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Hospital-based case–control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333 HCC cases and 360 controls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semiquantitative FFQ, 120 food items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gender, age, years of education, tobacco smoking, alcohol consumption and energy intake without alcohol and carbohydrates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Liu Y et al,2020,USA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Nurses’ Health Study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Prospective cohort (20 years)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88,770 women,age 34–59 years,85 HCC cases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131 food items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Carbohydrate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Age, FH-CC, prior endoscopy screening, aspirin use, height, BMI, pack-years of smoking before age 30 years, physical activity, cereal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fiber, alcohol, calcium, folate, processed meat, red meat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Liu Y et al,2020,USA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Health Professionals Follow-up Study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Prospective cohort (14 years)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48,197 men,age 45–75 years,71 HCC cases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131 food items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Carbohydrate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Age, FH-CC, prior endoscopy screening, aspirin use, height, BMI, pack-years of smoking before age 30 years, physical activity, cereal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 fiber, alcohol, calcium, folate, processed meat, red meat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George et al,2008,USA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The National Institutes of Health (NIH)–AARP Diet and Health Study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Prospective cohort (8 years)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183535 women,age 50-71 years,72 HCC cases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124 food items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index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</w:p>
        </w:tc>
        <w:tc>
          <w:tcPr>
            <w:tcW w:w="4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age, race/ethnicity, education, marital status, body mass index, family history of any cancer, total energy intake, physical activity, smoking, alcohol consumption, and menopausal hormone therapy use among women.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8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George et al,2008,USA</w:t>
            </w:r>
          </w:p>
        </w:tc>
        <w:tc>
          <w:tcPr>
            <w:tcW w:w="1590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 xml:space="preserve">The National Institutes of Health (NIH)–AARP Diet and Health Study </w:t>
            </w:r>
          </w:p>
        </w:tc>
        <w:tc>
          <w:tcPr>
            <w:tcW w:w="1536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Prospective cohort (8 years)</w:t>
            </w:r>
          </w:p>
        </w:tc>
        <w:tc>
          <w:tcPr>
            <w:tcW w:w="2109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262,642  men,age 50-71 years,238 HCC cases</w:t>
            </w:r>
          </w:p>
        </w:tc>
        <w:tc>
          <w:tcPr>
            <w:tcW w:w="1526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Validated FFQ, 124 food items</w:t>
            </w:r>
          </w:p>
        </w:tc>
        <w:tc>
          <w:tcPr>
            <w:tcW w:w="1384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index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Glycemic load</w:t>
            </w:r>
          </w:p>
        </w:tc>
        <w:tc>
          <w:tcPr>
            <w:tcW w:w="4198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3"/>
                <w:szCs w:val="13"/>
                <w:lang w:val="en-US" w:eastAsia="zh-CN"/>
              </w:rPr>
              <w:t>age, race/ethnicity, education, marital status, body mass index, family history of any cancer, total energy intake, physical activity, smoking, alcohol consumption, and menopausal hormone therapy use among women.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15"/>
          <w:szCs w:val="15"/>
        </w:rPr>
        <w:t>Abbreviations</w:t>
      </w:r>
      <w:r>
        <w:rPr>
          <w:rFonts w:hint="eastAsia" w:ascii="Times New Roman" w:hAnsi="Times New Roman" w:cs="Times New Roman"/>
          <w:sz w:val="15"/>
          <w:szCs w:val="15"/>
        </w:rPr>
        <w:t>:</w:t>
      </w:r>
      <w:r>
        <w:rPr>
          <w:rFonts w:hint="eastAsia" w:ascii="Times New Roman" w:hAnsi="Times New Roman" w:cs="Times New Roman"/>
          <w:b w:val="0"/>
          <w:bCs w:val="0"/>
          <w:sz w:val="15"/>
          <w:szCs w:val="15"/>
          <w:lang w:val="en-US" w:eastAsia="zh-CN"/>
        </w:rPr>
        <w:t xml:space="preserve">FFQ: 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Food Frequency Questionnai</w:t>
      </w:r>
      <w:r>
        <w:rPr>
          <w:rFonts w:hint="eastAsia" w:ascii="Times New Roman" w:hAnsi="Times New Roman" w:cs="Times New Roman"/>
          <w:b w:val="0"/>
          <w:bCs w:val="0"/>
          <w:sz w:val="15"/>
          <w:szCs w:val="15"/>
          <w:lang w:val="en-US" w:eastAsia="zh-CN"/>
        </w:rPr>
        <w:t>re;HCC:hepatocellular carcinoma;BMI：Body Mass Index</w: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widowControl/>
        <w:jc w:val="both"/>
        <w:rPr>
          <w:rFonts w:ascii="Times New Roman" w:hAnsi="Times New Roman" w:eastAsia="等线" w:cs="Times New Roman"/>
          <w:color w:val="000000"/>
          <w:kern w:val="0"/>
          <w:sz w:val="13"/>
          <w:szCs w:val="13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42E45"/>
    <w:rsid w:val="17B31E41"/>
    <w:rsid w:val="22296F18"/>
    <w:rsid w:val="24B35AD8"/>
    <w:rsid w:val="2AC05E9D"/>
    <w:rsid w:val="3EAA4212"/>
    <w:rsid w:val="58F456B5"/>
    <w:rsid w:val="7C5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01"/>
    <w:basedOn w:val="6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8">
    <w:name w:val="font51"/>
    <w:basedOn w:val="6"/>
    <w:qFormat/>
    <w:uiPriority w:val="0"/>
    <w:rPr>
      <w:rFonts w:hint="default" w:ascii="Segoe UI" w:hAnsi="Segoe UI" w:eastAsia="Segoe UI" w:cs="Segoe UI"/>
      <w:color w:val="333333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2021-06-11T04:45:00Z</dcterms:created>
  <dc:creator>杨龙山</dc:creator>
  <cp:lastModifiedBy>余夏未晚</cp:lastModifiedBy>
  <dcterms:modified xsi:type="dcterms:W3CDTF">2021-10-27T11:16:36Z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253B87E7C064422EA98E39D185269713</vt:lpwstr>
  </property>
</Properties>
</file>