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DCA3" w14:textId="33086C4F" w:rsidR="00EB22E6" w:rsidRPr="007A2AB6" w:rsidRDefault="00EB22E6" w:rsidP="00EB22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0B3025CC" w14:textId="77777777" w:rsidR="00EB22E6" w:rsidRPr="007A2AB6" w:rsidRDefault="00EB22E6" w:rsidP="00EB22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"/>
        <w:tblW w:w="8399" w:type="dxa"/>
        <w:tblLook w:val="04A0" w:firstRow="1" w:lastRow="0" w:firstColumn="1" w:lastColumn="0" w:noHBand="0" w:noVBand="1"/>
      </w:tblPr>
      <w:tblGrid>
        <w:gridCol w:w="1865"/>
        <w:gridCol w:w="2274"/>
        <w:gridCol w:w="4260"/>
      </w:tblGrid>
      <w:tr w:rsidR="007A2AB6" w:rsidRPr="007A2AB6" w14:paraId="4AC3B6D1" w14:textId="77777777" w:rsidTr="0097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126A8A6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2274" w:type="dxa"/>
          </w:tcPr>
          <w:p w14:paraId="5320C238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Rebleeding Rate in EO Group</w:t>
            </w:r>
          </w:p>
        </w:tc>
        <w:tc>
          <w:tcPr>
            <w:tcW w:w="4260" w:type="dxa"/>
          </w:tcPr>
          <w:p w14:paraId="2AC7B6FC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Rebleeding Rate in PTAE Group</w:t>
            </w:r>
          </w:p>
        </w:tc>
      </w:tr>
      <w:tr w:rsidR="007A2AB6" w:rsidRPr="007A2AB6" w14:paraId="3C11CE04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1493E86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 2019</w:t>
            </w:r>
          </w:p>
        </w:tc>
        <w:tc>
          <w:tcPr>
            <w:tcW w:w="2274" w:type="dxa"/>
          </w:tcPr>
          <w:p w14:paraId="01F08947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14/123</w:t>
            </w:r>
          </w:p>
        </w:tc>
        <w:tc>
          <w:tcPr>
            <w:tcW w:w="4260" w:type="dxa"/>
          </w:tcPr>
          <w:p w14:paraId="03CF202B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6/96</w:t>
            </w:r>
          </w:p>
        </w:tc>
      </w:tr>
      <w:tr w:rsidR="007A2AB6" w:rsidRPr="007A2AB6" w14:paraId="6847A0AE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219495C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Laursen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74" w:type="dxa"/>
          </w:tcPr>
          <w:p w14:paraId="6F2017C6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8/56</w:t>
            </w:r>
          </w:p>
        </w:tc>
        <w:tc>
          <w:tcPr>
            <w:tcW w:w="4260" w:type="dxa"/>
          </w:tcPr>
          <w:p w14:paraId="3D3D0077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</w:tr>
      <w:tr w:rsidR="007A2AB6" w:rsidRPr="007A2AB6" w14:paraId="3CE8F38C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EEC300B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Mille 2015</w:t>
            </w:r>
          </w:p>
        </w:tc>
        <w:tc>
          <w:tcPr>
            <w:tcW w:w="2274" w:type="dxa"/>
          </w:tcPr>
          <w:p w14:paraId="65FBE0FF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5/47</w:t>
            </w:r>
          </w:p>
        </w:tc>
        <w:tc>
          <w:tcPr>
            <w:tcW w:w="4260" w:type="dxa"/>
          </w:tcPr>
          <w:p w14:paraId="0AF39006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6/55</w:t>
            </w:r>
          </w:p>
        </w:tc>
      </w:tr>
      <w:tr w:rsidR="007A2AB6" w:rsidRPr="007A2AB6" w14:paraId="446CB590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4FD412A2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74" w:type="dxa"/>
          </w:tcPr>
          <w:p w14:paraId="15DBA35A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260" w:type="dxa"/>
          </w:tcPr>
          <w:p w14:paraId="261666A6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</w:tr>
      <w:tr w:rsidR="007A2AB6" w:rsidRPr="007A2AB6" w14:paraId="64F9F464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97E2530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74" w:type="dxa"/>
          </w:tcPr>
          <w:p w14:paraId="17656E0B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50/341</w:t>
            </w:r>
          </w:p>
        </w:tc>
        <w:tc>
          <w:tcPr>
            <w:tcW w:w="4260" w:type="dxa"/>
          </w:tcPr>
          <w:p w14:paraId="293B5A0A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2/58</w:t>
            </w:r>
          </w:p>
        </w:tc>
      </w:tr>
      <w:tr w:rsidR="007A2AB6" w:rsidRPr="007A2AB6" w14:paraId="35323DD5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4219A76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74" w:type="dxa"/>
          </w:tcPr>
          <w:p w14:paraId="782F7D8D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88/617 (14.3%)</w:t>
            </w:r>
          </w:p>
        </w:tc>
        <w:tc>
          <w:tcPr>
            <w:tcW w:w="4260" w:type="dxa"/>
          </w:tcPr>
          <w:p w14:paraId="50F07E83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18/265 (6.8%)</w:t>
            </w:r>
          </w:p>
        </w:tc>
      </w:tr>
    </w:tbl>
    <w:p w14:paraId="637AF0D7" w14:textId="11779536" w:rsidR="00EB22E6" w:rsidRPr="007A2AB6" w:rsidRDefault="00EB22E6" w:rsidP="00EB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>S. Table 1</w:t>
      </w:r>
      <w:r w:rsidRPr="007A2AB6">
        <w:rPr>
          <w:rFonts w:ascii="Times New Roman" w:hAnsi="Times New Roman" w:cs="Times New Roman"/>
          <w:sz w:val="24"/>
          <w:szCs w:val="24"/>
        </w:rPr>
        <w:t>: Rebleeding rate between EO (14.3%) and PTAE (6.8%) groups. EO: endoscopy only. PTAE: prophylactic transcatheter embolization</w:t>
      </w:r>
    </w:p>
    <w:p w14:paraId="7E76477C" w14:textId="77777777" w:rsidR="00EB22E6" w:rsidRPr="007A2AB6" w:rsidRDefault="00EB22E6" w:rsidP="00EB22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16905" w14:textId="77777777" w:rsidR="00EB22E6" w:rsidRPr="007A2AB6" w:rsidRDefault="00EB22E6" w:rsidP="00EB22E6">
      <w:pPr>
        <w:rPr>
          <w:rFonts w:ascii="Times New Roman" w:hAnsi="Times New Roman" w:cs="Times New Roman"/>
        </w:rPr>
      </w:pPr>
    </w:p>
    <w:tbl>
      <w:tblPr>
        <w:tblStyle w:val="GridTable2"/>
        <w:tblW w:w="7920" w:type="dxa"/>
        <w:tblLook w:val="04A0" w:firstRow="1" w:lastRow="0" w:firstColumn="1" w:lastColumn="0" w:noHBand="0" w:noVBand="1"/>
      </w:tblPr>
      <w:tblGrid>
        <w:gridCol w:w="1620"/>
        <w:gridCol w:w="3060"/>
        <w:gridCol w:w="3240"/>
      </w:tblGrid>
      <w:tr w:rsidR="007A2AB6" w:rsidRPr="007A2AB6" w14:paraId="7B50111E" w14:textId="77777777" w:rsidTr="0097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4699CB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060" w:type="dxa"/>
          </w:tcPr>
          <w:p w14:paraId="5886C455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Need of Surgical Intervention in EO Group</w:t>
            </w:r>
          </w:p>
        </w:tc>
        <w:tc>
          <w:tcPr>
            <w:tcW w:w="3240" w:type="dxa"/>
          </w:tcPr>
          <w:p w14:paraId="4526C493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Need of Surgical Intervention in PTAE Group</w:t>
            </w:r>
          </w:p>
        </w:tc>
      </w:tr>
      <w:tr w:rsidR="007A2AB6" w:rsidRPr="007A2AB6" w14:paraId="1DB9BCEA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9ADA44F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 2019</w:t>
            </w:r>
          </w:p>
        </w:tc>
        <w:tc>
          <w:tcPr>
            <w:tcW w:w="3060" w:type="dxa"/>
          </w:tcPr>
          <w:p w14:paraId="258540A5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3240" w:type="dxa"/>
          </w:tcPr>
          <w:p w14:paraId="040DBA89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0/96</w:t>
            </w:r>
          </w:p>
        </w:tc>
      </w:tr>
      <w:tr w:rsidR="007A2AB6" w:rsidRPr="007A2AB6" w14:paraId="1C1CAC9E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99117C0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Laursen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060" w:type="dxa"/>
          </w:tcPr>
          <w:p w14:paraId="4E490A2C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0/56</w:t>
            </w:r>
          </w:p>
          <w:p w14:paraId="631829B3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04B190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0/31</w:t>
            </w:r>
          </w:p>
        </w:tc>
      </w:tr>
      <w:tr w:rsidR="007A2AB6" w:rsidRPr="007A2AB6" w14:paraId="3B6EE801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316F1EF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Mille 2015</w:t>
            </w:r>
          </w:p>
        </w:tc>
        <w:tc>
          <w:tcPr>
            <w:tcW w:w="3060" w:type="dxa"/>
          </w:tcPr>
          <w:p w14:paraId="724C0AB4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0/47</w:t>
            </w:r>
          </w:p>
          <w:p w14:paraId="6A439406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D92951A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0/55</w:t>
            </w:r>
          </w:p>
        </w:tc>
      </w:tr>
      <w:tr w:rsidR="007A2AB6" w:rsidRPr="007A2AB6" w14:paraId="726D7060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8C734DF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060" w:type="dxa"/>
          </w:tcPr>
          <w:p w14:paraId="7D4425ED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17/50</w:t>
            </w:r>
          </w:p>
        </w:tc>
        <w:tc>
          <w:tcPr>
            <w:tcW w:w="3240" w:type="dxa"/>
          </w:tcPr>
          <w:p w14:paraId="3A6FE9E9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7A2AB6" w:rsidRPr="007A2AB6" w14:paraId="5CF56A88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B7CFFD2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60" w:type="dxa"/>
          </w:tcPr>
          <w:p w14:paraId="356EF953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71/341</w:t>
            </w:r>
          </w:p>
        </w:tc>
        <w:tc>
          <w:tcPr>
            <w:tcW w:w="3240" w:type="dxa"/>
          </w:tcPr>
          <w:p w14:paraId="7D5FBD7D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</w:tr>
      <w:tr w:rsidR="007A2AB6" w:rsidRPr="007A2AB6" w14:paraId="46F3BAB3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E04C2A4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14:paraId="27ABE240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86/617 (14.4%)</w:t>
            </w:r>
          </w:p>
          <w:p w14:paraId="08136E78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81B46D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8/265 (3.0%)</w:t>
            </w:r>
          </w:p>
        </w:tc>
      </w:tr>
    </w:tbl>
    <w:p w14:paraId="0F4E3DAC" w14:textId="5E6CDD6D" w:rsidR="00EB22E6" w:rsidRPr="007A2AB6" w:rsidRDefault="00EB22E6" w:rsidP="00EB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>S. Table 2</w:t>
      </w:r>
      <w:r w:rsidRPr="007A2AB6">
        <w:rPr>
          <w:rFonts w:ascii="Times New Roman" w:hAnsi="Times New Roman" w:cs="Times New Roman"/>
          <w:sz w:val="24"/>
          <w:szCs w:val="24"/>
        </w:rPr>
        <w:t xml:space="preserve">: Pooled rate of surgical intervention after EO (86/617, 14.4%) or PTAE (8/265, 3%). EO: endoscopy only. PTAE: prophylactic transcatheter embolization. </w:t>
      </w:r>
    </w:p>
    <w:p w14:paraId="47A09E64" w14:textId="77777777" w:rsidR="00EB22E6" w:rsidRPr="007A2AB6" w:rsidRDefault="00EB22E6" w:rsidP="00EB22E6">
      <w:pPr>
        <w:rPr>
          <w:rFonts w:ascii="Times New Roman" w:hAnsi="Times New Roman" w:cs="Times New Roman"/>
        </w:rPr>
      </w:pPr>
    </w:p>
    <w:tbl>
      <w:tblPr>
        <w:tblStyle w:val="GridTable2"/>
        <w:tblW w:w="7830" w:type="dxa"/>
        <w:tblLook w:val="04A0" w:firstRow="1" w:lastRow="0" w:firstColumn="1" w:lastColumn="0" w:noHBand="0" w:noVBand="1"/>
      </w:tblPr>
      <w:tblGrid>
        <w:gridCol w:w="2160"/>
        <w:gridCol w:w="2610"/>
        <w:gridCol w:w="3060"/>
      </w:tblGrid>
      <w:tr w:rsidR="007A2AB6" w:rsidRPr="007A2AB6" w14:paraId="11770207" w14:textId="77777777" w:rsidTr="0097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E930ED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2610" w:type="dxa"/>
          </w:tcPr>
          <w:p w14:paraId="4806E2B1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Mortality in EO Group</w:t>
            </w:r>
          </w:p>
        </w:tc>
        <w:tc>
          <w:tcPr>
            <w:tcW w:w="3060" w:type="dxa"/>
          </w:tcPr>
          <w:p w14:paraId="4B337E09" w14:textId="77777777" w:rsidR="00EB22E6" w:rsidRPr="007A2AB6" w:rsidRDefault="00EB22E6" w:rsidP="00973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Mortality in PTAE Group</w:t>
            </w:r>
          </w:p>
        </w:tc>
      </w:tr>
      <w:tr w:rsidR="007A2AB6" w:rsidRPr="007A2AB6" w14:paraId="26F40F78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D958975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 2019</w:t>
            </w:r>
          </w:p>
        </w:tc>
        <w:tc>
          <w:tcPr>
            <w:tcW w:w="2610" w:type="dxa"/>
          </w:tcPr>
          <w:p w14:paraId="0CC708DA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5/123</w:t>
            </w:r>
          </w:p>
        </w:tc>
        <w:tc>
          <w:tcPr>
            <w:tcW w:w="3060" w:type="dxa"/>
          </w:tcPr>
          <w:p w14:paraId="4AAB4147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0/96</w:t>
            </w:r>
          </w:p>
        </w:tc>
      </w:tr>
      <w:tr w:rsidR="007A2AB6" w:rsidRPr="007A2AB6" w14:paraId="1DF7E10D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023DCA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Laursen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10" w:type="dxa"/>
          </w:tcPr>
          <w:p w14:paraId="7D096E5B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8/56</w:t>
            </w:r>
          </w:p>
        </w:tc>
        <w:tc>
          <w:tcPr>
            <w:tcW w:w="3060" w:type="dxa"/>
          </w:tcPr>
          <w:p w14:paraId="6DDBA28D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</w:tr>
      <w:tr w:rsidR="007A2AB6" w:rsidRPr="007A2AB6" w14:paraId="20359C01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8183DE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Mille 2015</w:t>
            </w:r>
          </w:p>
        </w:tc>
        <w:tc>
          <w:tcPr>
            <w:tcW w:w="2610" w:type="dxa"/>
          </w:tcPr>
          <w:p w14:paraId="08ACB4D1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5/47</w:t>
            </w:r>
          </w:p>
        </w:tc>
        <w:tc>
          <w:tcPr>
            <w:tcW w:w="3060" w:type="dxa"/>
          </w:tcPr>
          <w:p w14:paraId="64A16F3E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7/55</w:t>
            </w:r>
          </w:p>
        </w:tc>
      </w:tr>
      <w:tr w:rsidR="007A2AB6" w:rsidRPr="007A2AB6" w14:paraId="6A5C900F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AE9D37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10" w:type="dxa"/>
          </w:tcPr>
          <w:p w14:paraId="1CD2326E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8/50</w:t>
            </w:r>
          </w:p>
        </w:tc>
        <w:tc>
          <w:tcPr>
            <w:tcW w:w="3060" w:type="dxa"/>
          </w:tcPr>
          <w:p w14:paraId="46E56B92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7A2AB6" w:rsidRPr="007A2AB6" w14:paraId="182F00DF" w14:textId="77777777" w:rsidTr="0097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0F8F59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610" w:type="dxa"/>
          </w:tcPr>
          <w:p w14:paraId="7BFB4BDB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28/341</w:t>
            </w:r>
          </w:p>
        </w:tc>
        <w:tc>
          <w:tcPr>
            <w:tcW w:w="3060" w:type="dxa"/>
          </w:tcPr>
          <w:p w14:paraId="7299FA94" w14:textId="77777777" w:rsidR="00EB22E6" w:rsidRPr="007A2AB6" w:rsidRDefault="00EB22E6" w:rsidP="00973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3/58</w:t>
            </w:r>
          </w:p>
        </w:tc>
      </w:tr>
      <w:tr w:rsidR="007A2AB6" w:rsidRPr="007A2AB6" w14:paraId="558678CC" w14:textId="77777777" w:rsidTr="0097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11D49" w14:textId="77777777" w:rsidR="00EB22E6" w:rsidRPr="007A2AB6" w:rsidRDefault="00EB22E6" w:rsidP="0097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14:paraId="030D7528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54/617 (8.8%)</w:t>
            </w:r>
          </w:p>
        </w:tc>
        <w:tc>
          <w:tcPr>
            <w:tcW w:w="3060" w:type="dxa"/>
          </w:tcPr>
          <w:p w14:paraId="365427C5" w14:textId="77777777" w:rsidR="00EB22E6" w:rsidRPr="007A2AB6" w:rsidRDefault="00EB22E6" w:rsidP="00973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12/265 (4.5%)</w:t>
            </w:r>
          </w:p>
        </w:tc>
      </w:tr>
    </w:tbl>
    <w:p w14:paraId="22D51EDA" w14:textId="5E96E8C6" w:rsidR="00EB22E6" w:rsidRPr="007A2AB6" w:rsidRDefault="00EB22E6" w:rsidP="00EB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>S. Table 3</w:t>
      </w:r>
      <w:r w:rsidRPr="007A2AB6">
        <w:rPr>
          <w:rFonts w:ascii="Times New Roman" w:hAnsi="Times New Roman" w:cs="Times New Roman"/>
          <w:sz w:val="24"/>
          <w:szCs w:val="24"/>
        </w:rPr>
        <w:t xml:space="preserve">: Mortality rate between EO (8.8%) and PTAE (4.5%) groups. EO: endoscopy only. PTAE: prophylactic transcatheter embolization. </w:t>
      </w:r>
    </w:p>
    <w:p w14:paraId="09B1A87B" w14:textId="032AE71B" w:rsidR="00600092" w:rsidRPr="007A2AB6" w:rsidRDefault="00600092">
      <w:pPr>
        <w:rPr>
          <w:rFonts w:ascii="Times New Roman" w:hAnsi="Times New Roman" w:cs="Times New Roman"/>
        </w:rPr>
      </w:pPr>
    </w:p>
    <w:p w14:paraId="032AE631" w14:textId="5936B7F9" w:rsidR="00177FF8" w:rsidRPr="007A2AB6" w:rsidRDefault="00177FF8" w:rsidP="00177F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10"/>
        <w:gridCol w:w="952"/>
        <w:gridCol w:w="2061"/>
        <w:gridCol w:w="968"/>
        <w:gridCol w:w="1987"/>
        <w:gridCol w:w="977"/>
      </w:tblGrid>
      <w:tr w:rsidR="007A2AB6" w:rsidRPr="007A2AB6" w14:paraId="43A8F814" w14:textId="77777777" w:rsidTr="00606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A464F" w14:textId="77777777" w:rsidR="00A436DD" w:rsidRPr="007A2AB6" w:rsidRDefault="00A436DD" w:rsidP="006066A6">
            <w:r w:rsidRPr="007A2AB6">
              <w:lastRenderedPageBreak/>
              <w:t>Clinical Variable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82CB3" w14:textId="77777777" w:rsidR="00A436DD" w:rsidRPr="007A2AB6" w:rsidRDefault="00A436DD" w:rsidP="006066A6">
            <w:r w:rsidRPr="007A2AB6">
              <w:t>Study Number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7AD5D" w14:textId="77777777" w:rsidR="00A436DD" w:rsidRPr="007A2AB6" w:rsidRDefault="00A436DD" w:rsidP="006066A6">
            <w:r w:rsidRPr="007A2AB6">
              <w:t>Rebleed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68F" w14:textId="77777777" w:rsidR="00A436DD" w:rsidRPr="007A2AB6" w:rsidRDefault="00A436DD" w:rsidP="006066A6"/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6DA9E" w14:textId="77777777" w:rsidR="00A436DD" w:rsidRPr="007A2AB6" w:rsidRDefault="00A436DD" w:rsidP="006066A6">
            <w:r w:rsidRPr="007A2AB6">
              <w:t>Mortality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DC419" w14:textId="77777777" w:rsidR="00A436DD" w:rsidRPr="007A2AB6" w:rsidRDefault="00A436DD" w:rsidP="006066A6"/>
        </w:tc>
      </w:tr>
      <w:tr w:rsidR="007A2AB6" w:rsidRPr="007A2AB6" w14:paraId="1E5FA4A1" w14:textId="77777777" w:rsidTr="006066A6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0FD" w14:textId="77777777" w:rsidR="00A436DD" w:rsidRPr="007A2AB6" w:rsidRDefault="00A436DD" w:rsidP="006066A6"/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F11" w14:textId="77777777" w:rsidR="00A436DD" w:rsidRPr="007A2AB6" w:rsidRDefault="00A436DD" w:rsidP="006066A6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7AE4" w14:textId="77777777" w:rsidR="00A436DD" w:rsidRPr="007A2AB6" w:rsidRDefault="00A436DD" w:rsidP="006066A6">
            <w:r w:rsidRPr="007A2AB6">
              <w:t>OR (95%CI)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6847741D" w14:textId="77777777" w:rsidR="00A436DD" w:rsidRPr="007A2AB6" w:rsidRDefault="00A436DD" w:rsidP="006066A6">
            <w:r w:rsidRPr="007A2AB6">
              <w:t>P value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183E5CF8" w14:textId="77777777" w:rsidR="00A436DD" w:rsidRPr="007A2AB6" w:rsidRDefault="00A436DD" w:rsidP="006066A6">
            <w:r w:rsidRPr="007A2AB6">
              <w:t>OR (95%CI)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B81672B" w14:textId="77777777" w:rsidR="00A436DD" w:rsidRPr="007A2AB6" w:rsidRDefault="00A436DD" w:rsidP="006066A6">
            <w:r w:rsidRPr="007A2AB6">
              <w:t>P value</w:t>
            </w:r>
          </w:p>
        </w:tc>
      </w:tr>
      <w:tr w:rsidR="007A2AB6" w:rsidRPr="007A2AB6" w14:paraId="3985CB76" w14:textId="77777777" w:rsidTr="006066A6">
        <w:tc>
          <w:tcPr>
            <w:tcW w:w="2410" w:type="dxa"/>
          </w:tcPr>
          <w:p w14:paraId="563B7D51" w14:textId="1E548ECD" w:rsidR="00A436DD" w:rsidRPr="007A2AB6" w:rsidRDefault="00A436DD" w:rsidP="006066A6">
            <w:r w:rsidRPr="007A2AB6">
              <w:t>Hemoglobin</w:t>
            </w:r>
            <w:r w:rsidR="00073C30" w:rsidRPr="007A2AB6">
              <w:t xml:space="preserve"> (mean or median)</w:t>
            </w:r>
          </w:p>
        </w:tc>
        <w:tc>
          <w:tcPr>
            <w:tcW w:w="952" w:type="dxa"/>
          </w:tcPr>
          <w:p w14:paraId="43437B8B" w14:textId="77777777" w:rsidR="00A436DD" w:rsidRPr="007A2AB6" w:rsidRDefault="00A436DD" w:rsidP="006066A6"/>
        </w:tc>
        <w:tc>
          <w:tcPr>
            <w:tcW w:w="2061" w:type="dxa"/>
          </w:tcPr>
          <w:p w14:paraId="0EE76BA6" w14:textId="77777777" w:rsidR="00A436DD" w:rsidRPr="007A2AB6" w:rsidRDefault="00A436DD" w:rsidP="006066A6"/>
        </w:tc>
        <w:tc>
          <w:tcPr>
            <w:tcW w:w="968" w:type="dxa"/>
          </w:tcPr>
          <w:p w14:paraId="5F198536" w14:textId="77777777" w:rsidR="00A436DD" w:rsidRPr="007A2AB6" w:rsidRDefault="00A436DD" w:rsidP="006066A6"/>
        </w:tc>
        <w:tc>
          <w:tcPr>
            <w:tcW w:w="1987" w:type="dxa"/>
          </w:tcPr>
          <w:p w14:paraId="71185483" w14:textId="77777777" w:rsidR="00A436DD" w:rsidRPr="007A2AB6" w:rsidRDefault="00A436DD" w:rsidP="006066A6"/>
        </w:tc>
        <w:tc>
          <w:tcPr>
            <w:tcW w:w="977" w:type="dxa"/>
          </w:tcPr>
          <w:p w14:paraId="4D6F1502" w14:textId="77777777" w:rsidR="00A436DD" w:rsidRPr="007A2AB6" w:rsidRDefault="00A436DD" w:rsidP="006066A6"/>
        </w:tc>
      </w:tr>
      <w:tr w:rsidR="007A2AB6" w:rsidRPr="007A2AB6" w14:paraId="0974D532" w14:textId="77777777" w:rsidTr="006066A6">
        <w:tc>
          <w:tcPr>
            <w:tcW w:w="2410" w:type="dxa"/>
          </w:tcPr>
          <w:p w14:paraId="5CDB509F" w14:textId="77777777" w:rsidR="00A436DD" w:rsidRPr="007A2AB6" w:rsidRDefault="00A436DD" w:rsidP="006066A6">
            <w:r w:rsidRPr="007A2AB6">
              <w:t xml:space="preserve">  &lt;8.0</w:t>
            </w:r>
          </w:p>
        </w:tc>
        <w:tc>
          <w:tcPr>
            <w:tcW w:w="952" w:type="dxa"/>
          </w:tcPr>
          <w:p w14:paraId="64B0CD09" w14:textId="11B5E52F" w:rsidR="00A436DD" w:rsidRPr="007A2AB6" w:rsidRDefault="00A436DD" w:rsidP="006066A6">
            <w:r w:rsidRPr="007A2AB6">
              <w:t>3</w:t>
            </w:r>
            <w:r w:rsidR="001B771C" w:rsidRPr="007A2AB6">
              <w:rPr>
                <w:vertAlign w:val="superscript"/>
              </w:rPr>
              <w:t>c,d,e</w:t>
            </w:r>
          </w:p>
        </w:tc>
        <w:tc>
          <w:tcPr>
            <w:tcW w:w="2061" w:type="dxa"/>
          </w:tcPr>
          <w:p w14:paraId="6DB6B3F9" w14:textId="77777777" w:rsidR="00A436DD" w:rsidRPr="007A2AB6" w:rsidRDefault="00A436DD" w:rsidP="006066A6">
            <w:r w:rsidRPr="007A2AB6">
              <w:t>1.495 (0.694-3.219)</w:t>
            </w:r>
          </w:p>
        </w:tc>
        <w:tc>
          <w:tcPr>
            <w:tcW w:w="968" w:type="dxa"/>
          </w:tcPr>
          <w:p w14:paraId="15235244" w14:textId="77777777" w:rsidR="00A436DD" w:rsidRPr="007A2AB6" w:rsidRDefault="00A436DD" w:rsidP="006066A6">
            <w:r w:rsidRPr="007A2AB6">
              <w:t>0.305</w:t>
            </w:r>
          </w:p>
        </w:tc>
        <w:tc>
          <w:tcPr>
            <w:tcW w:w="1987" w:type="dxa"/>
          </w:tcPr>
          <w:p w14:paraId="0717C975" w14:textId="77777777" w:rsidR="00A436DD" w:rsidRPr="007A2AB6" w:rsidRDefault="00A436DD" w:rsidP="006066A6">
            <w:r w:rsidRPr="007A2AB6">
              <w:t>1.458 (0.545-3.897)</w:t>
            </w:r>
          </w:p>
        </w:tc>
        <w:tc>
          <w:tcPr>
            <w:tcW w:w="977" w:type="dxa"/>
          </w:tcPr>
          <w:p w14:paraId="36983D4F" w14:textId="77777777" w:rsidR="00A436DD" w:rsidRPr="007A2AB6" w:rsidRDefault="00A436DD" w:rsidP="006066A6">
            <w:r w:rsidRPr="007A2AB6">
              <w:t>0.452</w:t>
            </w:r>
          </w:p>
        </w:tc>
      </w:tr>
      <w:tr w:rsidR="007A2AB6" w:rsidRPr="007A2AB6" w14:paraId="0D1A6E44" w14:textId="77777777" w:rsidTr="006066A6">
        <w:tc>
          <w:tcPr>
            <w:tcW w:w="2410" w:type="dxa"/>
          </w:tcPr>
          <w:p w14:paraId="62239C4E" w14:textId="30ECD71C" w:rsidR="00A436DD" w:rsidRPr="007A2AB6" w:rsidRDefault="00A436DD" w:rsidP="006066A6">
            <w:r w:rsidRPr="007A2AB6">
              <w:t xml:space="preserve">  </w:t>
            </w:r>
            <w:r w:rsidR="005E3482" w:rsidRPr="007A2AB6">
              <w:rPr>
                <w:rFonts w:hint="eastAsia"/>
              </w:rPr>
              <w:t>≥</w:t>
            </w:r>
            <w:r w:rsidRPr="007A2AB6">
              <w:t>8.0</w:t>
            </w:r>
          </w:p>
        </w:tc>
        <w:tc>
          <w:tcPr>
            <w:tcW w:w="952" w:type="dxa"/>
          </w:tcPr>
          <w:p w14:paraId="0B303E92" w14:textId="55F5F6DB" w:rsidR="00A436DD" w:rsidRPr="007A2AB6" w:rsidRDefault="00A436DD" w:rsidP="006066A6">
            <w:r w:rsidRPr="007A2AB6">
              <w:t>2</w:t>
            </w:r>
            <w:r w:rsidR="001B771C" w:rsidRPr="007A2AB6">
              <w:rPr>
                <w:vertAlign w:val="superscript"/>
              </w:rPr>
              <w:t>a,b</w:t>
            </w:r>
          </w:p>
        </w:tc>
        <w:tc>
          <w:tcPr>
            <w:tcW w:w="2061" w:type="dxa"/>
          </w:tcPr>
          <w:p w14:paraId="54DD1F89" w14:textId="77777777" w:rsidR="00A436DD" w:rsidRPr="007A2AB6" w:rsidRDefault="00A436DD" w:rsidP="006066A6">
            <w:r w:rsidRPr="007A2AB6">
              <w:t>3.642 (1.491-8.895)</w:t>
            </w:r>
          </w:p>
        </w:tc>
        <w:tc>
          <w:tcPr>
            <w:tcW w:w="968" w:type="dxa"/>
          </w:tcPr>
          <w:p w14:paraId="420FA2F6" w14:textId="77777777" w:rsidR="00A436DD" w:rsidRPr="007A2AB6" w:rsidRDefault="00A436DD" w:rsidP="006066A6">
            <w:r w:rsidRPr="007A2AB6">
              <w:t>0.005</w:t>
            </w:r>
          </w:p>
        </w:tc>
        <w:tc>
          <w:tcPr>
            <w:tcW w:w="1987" w:type="dxa"/>
          </w:tcPr>
          <w:p w14:paraId="6CEB8930" w14:textId="77777777" w:rsidR="00A436DD" w:rsidRPr="007A2AB6" w:rsidRDefault="00A436DD" w:rsidP="006066A6">
            <w:r w:rsidRPr="007A2AB6">
              <w:t>8.77 (3.344-22.997)</w:t>
            </w:r>
          </w:p>
        </w:tc>
        <w:tc>
          <w:tcPr>
            <w:tcW w:w="977" w:type="dxa"/>
          </w:tcPr>
          <w:p w14:paraId="22FADDC4" w14:textId="77777777" w:rsidR="00A436DD" w:rsidRPr="007A2AB6" w:rsidRDefault="00A436DD" w:rsidP="006066A6">
            <w:r w:rsidRPr="007A2AB6">
              <w:t>&lt;0.001</w:t>
            </w:r>
          </w:p>
        </w:tc>
      </w:tr>
      <w:tr w:rsidR="007A2AB6" w:rsidRPr="007A2AB6" w14:paraId="7B99A96C" w14:textId="77777777" w:rsidTr="006066A6">
        <w:tc>
          <w:tcPr>
            <w:tcW w:w="2410" w:type="dxa"/>
          </w:tcPr>
          <w:p w14:paraId="4A04D3CF" w14:textId="77777777" w:rsidR="00A436DD" w:rsidRPr="007A2AB6" w:rsidRDefault="00A436DD" w:rsidP="006066A6">
            <w:r w:rsidRPr="007A2AB6">
              <w:rPr>
                <w:rFonts w:hint="eastAsia"/>
              </w:rPr>
              <w:t>Percentage</w:t>
            </w:r>
            <w:r w:rsidRPr="007A2AB6">
              <w:t xml:space="preserve"> of NSAID use (excluding aspirin)</w:t>
            </w:r>
          </w:p>
        </w:tc>
        <w:tc>
          <w:tcPr>
            <w:tcW w:w="952" w:type="dxa"/>
          </w:tcPr>
          <w:p w14:paraId="363E9360" w14:textId="77777777" w:rsidR="00A436DD" w:rsidRPr="007A2AB6" w:rsidRDefault="00A436DD" w:rsidP="006066A6"/>
        </w:tc>
        <w:tc>
          <w:tcPr>
            <w:tcW w:w="2061" w:type="dxa"/>
          </w:tcPr>
          <w:p w14:paraId="19A8A84A" w14:textId="77777777" w:rsidR="00A436DD" w:rsidRPr="007A2AB6" w:rsidRDefault="00A436DD" w:rsidP="006066A6"/>
        </w:tc>
        <w:tc>
          <w:tcPr>
            <w:tcW w:w="968" w:type="dxa"/>
          </w:tcPr>
          <w:p w14:paraId="764CCD43" w14:textId="77777777" w:rsidR="00A436DD" w:rsidRPr="007A2AB6" w:rsidRDefault="00A436DD" w:rsidP="006066A6"/>
        </w:tc>
        <w:tc>
          <w:tcPr>
            <w:tcW w:w="1987" w:type="dxa"/>
          </w:tcPr>
          <w:p w14:paraId="7B6B6DE2" w14:textId="77777777" w:rsidR="00A436DD" w:rsidRPr="007A2AB6" w:rsidRDefault="00A436DD" w:rsidP="006066A6"/>
        </w:tc>
        <w:tc>
          <w:tcPr>
            <w:tcW w:w="977" w:type="dxa"/>
          </w:tcPr>
          <w:p w14:paraId="636382B1" w14:textId="77777777" w:rsidR="00A436DD" w:rsidRPr="007A2AB6" w:rsidRDefault="00A436DD" w:rsidP="006066A6"/>
        </w:tc>
      </w:tr>
      <w:tr w:rsidR="007A2AB6" w:rsidRPr="007A2AB6" w14:paraId="1B65407D" w14:textId="77777777" w:rsidTr="006066A6">
        <w:tc>
          <w:tcPr>
            <w:tcW w:w="2410" w:type="dxa"/>
          </w:tcPr>
          <w:p w14:paraId="51058E5E" w14:textId="468A2D4A" w:rsidR="00A436DD" w:rsidRPr="007A2AB6" w:rsidRDefault="00A436DD" w:rsidP="006066A6">
            <w:r w:rsidRPr="007A2AB6">
              <w:t xml:space="preserve">  </w:t>
            </w:r>
            <w:r w:rsidR="005E3482" w:rsidRPr="007A2AB6">
              <w:rPr>
                <w:rFonts w:hint="eastAsia"/>
              </w:rPr>
              <w:t>≥</w:t>
            </w:r>
            <w:r w:rsidRPr="007A2AB6">
              <w:t>20%</w:t>
            </w:r>
          </w:p>
        </w:tc>
        <w:tc>
          <w:tcPr>
            <w:tcW w:w="952" w:type="dxa"/>
          </w:tcPr>
          <w:p w14:paraId="5D3388FC" w14:textId="028FC8C1" w:rsidR="00A436DD" w:rsidRPr="007A2AB6" w:rsidRDefault="00A436DD" w:rsidP="006066A6">
            <w:r w:rsidRPr="007A2AB6">
              <w:t>2</w:t>
            </w:r>
            <w:r w:rsidR="001B771C" w:rsidRPr="007A2AB6">
              <w:rPr>
                <w:vertAlign w:val="superscript"/>
              </w:rPr>
              <w:t>c,d</w:t>
            </w:r>
          </w:p>
        </w:tc>
        <w:tc>
          <w:tcPr>
            <w:tcW w:w="2061" w:type="dxa"/>
          </w:tcPr>
          <w:p w14:paraId="1D1B0769" w14:textId="77777777" w:rsidR="00A436DD" w:rsidRPr="007A2AB6" w:rsidRDefault="00A436DD" w:rsidP="006066A6">
            <w:r w:rsidRPr="007A2AB6">
              <w:t>2.83 (0.91-8.87)</w:t>
            </w:r>
          </w:p>
        </w:tc>
        <w:tc>
          <w:tcPr>
            <w:tcW w:w="968" w:type="dxa"/>
          </w:tcPr>
          <w:p w14:paraId="30F81525" w14:textId="77777777" w:rsidR="00A436DD" w:rsidRPr="007A2AB6" w:rsidRDefault="00A436DD" w:rsidP="006066A6">
            <w:r w:rsidRPr="007A2AB6">
              <w:t>0.074</w:t>
            </w:r>
          </w:p>
        </w:tc>
        <w:tc>
          <w:tcPr>
            <w:tcW w:w="1987" w:type="dxa"/>
          </w:tcPr>
          <w:p w14:paraId="385009A7" w14:textId="77777777" w:rsidR="00A436DD" w:rsidRPr="007A2AB6" w:rsidRDefault="00A436DD" w:rsidP="006066A6">
            <w:r w:rsidRPr="007A2AB6">
              <w:t>8.0 (1.753-3</w:t>
            </w:r>
            <w:bookmarkStart w:id="0" w:name="_GoBack"/>
            <w:bookmarkEnd w:id="0"/>
            <w:r w:rsidRPr="007A2AB6">
              <w:t>6.512)</w:t>
            </w:r>
          </w:p>
        </w:tc>
        <w:tc>
          <w:tcPr>
            <w:tcW w:w="977" w:type="dxa"/>
          </w:tcPr>
          <w:p w14:paraId="718F2401" w14:textId="77777777" w:rsidR="00A436DD" w:rsidRPr="007A2AB6" w:rsidRDefault="00A436DD" w:rsidP="006066A6">
            <w:r w:rsidRPr="007A2AB6">
              <w:t>0.007</w:t>
            </w:r>
          </w:p>
        </w:tc>
      </w:tr>
      <w:tr w:rsidR="007A2AB6" w:rsidRPr="007A2AB6" w14:paraId="77D37767" w14:textId="77777777" w:rsidTr="006066A6">
        <w:tc>
          <w:tcPr>
            <w:tcW w:w="2410" w:type="dxa"/>
          </w:tcPr>
          <w:p w14:paraId="1667B449" w14:textId="77777777" w:rsidR="00A436DD" w:rsidRPr="007A2AB6" w:rsidRDefault="00A436DD" w:rsidP="006066A6">
            <w:r w:rsidRPr="007A2AB6">
              <w:t xml:space="preserve">  &lt;20%</w:t>
            </w:r>
          </w:p>
        </w:tc>
        <w:tc>
          <w:tcPr>
            <w:tcW w:w="952" w:type="dxa"/>
          </w:tcPr>
          <w:p w14:paraId="237C02D4" w14:textId="444E1531" w:rsidR="00A436DD" w:rsidRPr="007A2AB6" w:rsidRDefault="00A436DD" w:rsidP="006066A6">
            <w:r w:rsidRPr="007A2AB6">
              <w:t>2</w:t>
            </w:r>
            <w:r w:rsidR="001B771C" w:rsidRPr="007A2AB6">
              <w:rPr>
                <w:vertAlign w:val="superscript"/>
              </w:rPr>
              <w:t>a,b</w:t>
            </w:r>
          </w:p>
        </w:tc>
        <w:tc>
          <w:tcPr>
            <w:tcW w:w="2061" w:type="dxa"/>
          </w:tcPr>
          <w:p w14:paraId="67853C3B" w14:textId="77777777" w:rsidR="00A436DD" w:rsidRPr="007A2AB6" w:rsidRDefault="00A436DD" w:rsidP="006066A6">
            <w:r w:rsidRPr="007A2AB6">
              <w:t>1.49 (0.69-3.22)</w:t>
            </w:r>
          </w:p>
        </w:tc>
        <w:tc>
          <w:tcPr>
            <w:tcW w:w="968" w:type="dxa"/>
          </w:tcPr>
          <w:p w14:paraId="7D648CA1" w14:textId="77777777" w:rsidR="00A436DD" w:rsidRPr="007A2AB6" w:rsidRDefault="00A436DD" w:rsidP="006066A6">
            <w:r w:rsidRPr="007A2AB6">
              <w:t>0.305</w:t>
            </w:r>
          </w:p>
        </w:tc>
        <w:tc>
          <w:tcPr>
            <w:tcW w:w="1987" w:type="dxa"/>
          </w:tcPr>
          <w:p w14:paraId="1573FD98" w14:textId="77777777" w:rsidR="00A436DD" w:rsidRPr="007A2AB6" w:rsidRDefault="00A436DD" w:rsidP="006066A6">
            <w:r w:rsidRPr="007A2AB6">
              <w:t>1.458 (0.545-3.897)</w:t>
            </w:r>
          </w:p>
        </w:tc>
        <w:tc>
          <w:tcPr>
            <w:tcW w:w="977" w:type="dxa"/>
          </w:tcPr>
          <w:p w14:paraId="1DD46280" w14:textId="77777777" w:rsidR="00A436DD" w:rsidRPr="007A2AB6" w:rsidRDefault="00A436DD" w:rsidP="006066A6">
            <w:r w:rsidRPr="007A2AB6">
              <w:t>0.452</w:t>
            </w:r>
          </w:p>
        </w:tc>
      </w:tr>
      <w:tr w:rsidR="007A2AB6" w:rsidRPr="007A2AB6" w14:paraId="5E358D82" w14:textId="77777777" w:rsidTr="006066A6">
        <w:tc>
          <w:tcPr>
            <w:tcW w:w="2410" w:type="dxa"/>
          </w:tcPr>
          <w:p w14:paraId="06989F63" w14:textId="77777777" w:rsidR="00A436DD" w:rsidRPr="007A2AB6" w:rsidRDefault="00A436DD" w:rsidP="006066A6">
            <w:r w:rsidRPr="007A2AB6">
              <w:t>Follow-up</w:t>
            </w:r>
          </w:p>
        </w:tc>
        <w:tc>
          <w:tcPr>
            <w:tcW w:w="952" w:type="dxa"/>
          </w:tcPr>
          <w:p w14:paraId="28273AE9" w14:textId="77777777" w:rsidR="00A436DD" w:rsidRPr="007A2AB6" w:rsidRDefault="00A436DD" w:rsidP="006066A6"/>
        </w:tc>
        <w:tc>
          <w:tcPr>
            <w:tcW w:w="2061" w:type="dxa"/>
          </w:tcPr>
          <w:p w14:paraId="040BBAFD" w14:textId="77777777" w:rsidR="00A436DD" w:rsidRPr="007A2AB6" w:rsidRDefault="00A436DD" w:rsidP="006066A6"/>
        </w:tc>
        <w:tc>
          <w:tcPr>
            <w:tcW w:w="968" w:type="dxa"/>
          </w:tcPr>
          <w:p w14:paraId="5111342E" w14:textId="77777777" w:rsidR="00A436DD" w:rsidRPr="007A2AB6" w:rsidRDefault="00A436DD" w:rsidP="006066A6"/>
        </w:tc>
        <w:tc>
          <w:tcPr>
            <w:tcW w:w="1987" w:type="dxa"/>
          </w:tcPr>
          <w:p w14:paraId="1C0BB25D" w14:textId="77777777" w:rsidR="00A436DD" w:rsidRPr="007A2AB6" w:rsidRDefault="00A436DD" w:rsidP="006066A6"/>
        </w:tc>
        <w:tc>
          <w:tcPr>
            <w:tcW w:w="977" w:type="dxa"/>
          </w:tcPr>
          <w:p w14:paraId="07C6519C" w14:textId="77777777" w:rsidR="00A436DD" w:rsidRPr="007A2AB6" w:rsidRDefault="00A436DD" w:rsidP="006066A6"/>
        </w:tc>
      </w:tr>
      <w:tr w:rsidR="007A2AB6" w:rsidRPr="007A2AB6" w14:paraId="2495441D" w14:textId="77777777" w:rsidTr="006066A6">
        <w:tc>
          <w:tcPr>
            <w:tcW w:w="2410" w:type="dxa"/>
          </w:tcPr>
          <w:p w14:paraId="4782AB23" w14:textId="77777777" w:rsidR="00A436DD" w:rsidRPr="007A2AB6" w:rsidRDefault="00A436DD" w:rsidP="006066A6">
            <w:r w:rsidRPr="007A2AB6">
              <w:t xml:space="preserve">  30-day</w:t>
            </w:r>
          </w:p>
        </w:tc>
        <w:tc>
          <w:tcPr>
            <w:tcW w:w="952" w:type="dxa"/>
          </w:tcPr>
          <w:p w14:paraId="7AEC41AA" w14:textId="551ED64B" w:rsidR="00A436DD" w:rsidRPr="007A2AB6" w:rsidRDefault="00A436DD" w:rsidP="006066A6">
            <w:r w:rsidRPr="007A2AB6">
              <w:t>3</w:t>
            </w:r>
            <w:r w:rsidR="001B771C" w:rsidRPr="007A2AB6">
              <w:rPr>
                <w:vertAlign w:val="superscript"/>
              </w:rPr>
              <w:t>a,b,c</w:t>
            </w:r>
          </w:p>
        </w:tc>
        <w:tc>
          <w:tcPr>
            <w:tcW w:w="2061" w:type="dxa"/>
          </w:tcPr>
          <w:p w14:paraId="54A022CC" w14:textId="77777777" w:rsidR="00A436DD" w:rsidRPr="007A2AB6" w:rsidRDefault="00A436DD" w:rsidP="006066A6">
            <w:r w:rsidRPr="007A2AB6">
              <w:t>1.816 (0.896-3.683)</w:t>
            </w:r>
          </w:p>
        </w:tc>
        <w:tc>
          <w:tcPr>
            <w:tcW w:w="968" w:type="dxa"/>
          </w:tcPr>
          <w:p w14:paraId="1E63D8AF" w14:textId="77777777" w:rsidR="00A436DD" w:rsidRPr="007A2AB6" w:rsidRDefault="00A436DD" w:rsidP="006066A6">
            <w:r w:rsidRPr="007A2AB6">
              <w:t>0.098</w:t>
            </w:r>
          </w:p>
        </w:tc>
        <w:tc>
          <w:tcPr>
            <w:tcW w:w="1987" w:type="dxa"/>
          </w:tcPr>
          <w:p w14:paraId="777C6C9D" w14:textId="77777777" w:rsidR="00A436DD" w:rsidRPr="007A2AB6" w:rsidRDefault="00A436DD" w:rsidP="006066A6">
            <w:r w:rsidRPr="007A2AB6">
              <w:t>2.209 (0.94-5.192)</w:t>
            </w:r>
          </w:p>
        </w:tc>
        <w:tc>
          <w:tcPr>
            <w:tcW w:w="977" w:type="dxa"/>
          </w:tcPr>
          <w:p w14:paraId="7B5FC854" w14:textId="77777777" w:rsidR="00A436DD" w:rsidRPr="007A2AB6" w:rsidRDefault="00A436DD" w:rsidP="006066A6">
            <w:r w:rsidRPr="007A2AB6">
              <w:t>0.069</w:t>
            </w:r>
          </w:p>
        </w:tc>
      </w:tr>
      <w:tr w:rsidR="007A2AB6" w:rsidRPr="007A2AB6" w14:paraId="54067D1E" w14:textId="77777777" w:rsidTr="006066A6">
        <w:tc>
          <w:tcPr>
            <w:tcW w:w="2410" w:type="dxa"/>
          </w:tcPr>
          <w:p w14:paraId="0D62E148" w14:textId="77777777" w:rsidR="00A436DD" w:rsidRPr="007A2AB6" w:rsidRDefault="00A436DD" w:rsidP="006066A6">
            <w:r w:rsidRPr="007A2AB6">
              <w:t xml:space="preserve">  NS</w:t>
            </w:r>
          </w:p>
        </w:tc>
        <w:tc>
          <w:tcPr>
            <w:tcW w:w="952" w:type="dxa"/>
          </w:tcPr>
          <w:p w14:paraId="25694B58" w14:textId="4E654306" w:rsidR="00A436DD" w:rsidRPr="007A2AB6" w:rsidRDefault="00A436DD" w:rsidP="006066A6">
            <w:r w:rsidRPr="007A2AB6">
              <w:t>2</w:t>
            </w:r>
            <w:r w:rsidR="001B771C" w:rsidRPr="007A2AB6">
              <w:rPr>
                <w:vertAlign w:val="superscript"/>
              </w:rPr>
              <w:t>d,e</w:t>
            </w:r>
          </w:p>
        </w:tc>
        <w:tc>
          <w:tcPr>
            <w:tcW w:w="2061" w:type="dxa"/>
          </w:tcPr>
          <w:p w14:paraId="537C2DAF" w14:textId="77777777" w:rsidR="00A436DD" w:rsidRPr="007A2AB6" w:rsidRDefault="00A436DD" w:rsidP="006066A6">
            <w:r w:rsidRPr="007A2AB6">
              <w:t>3.394 (1.268-9.082)</w:t>
            </w:r>
          </w:p>
        </w:tc>
        <w:tc>
          <w:tcPr>
            <w:tcW w:w="968" w:type="dxa"/>
          </w:tcPr>
          <w:p w14:paraId="5DF16DAF" w14:textId="77777777" w:rsidR="00A436DD" w:rsidRPr="007A2AB6" w:rsidRDefault="00A436DD" w:rsidP="006066A6">
            <w:r w:rsidRPr="007A2AB6">
              <w:t>0.015</w:t>
            </w:r>
          </w:p>
        </w:tc>
        <w:tc>
          <w:tcPr>
            <w:tcW w:w="1987" w:type="dxa"/>
          </w:tcPr>
          <w:p w14:paraId="1209CDFC" w14:textId="77777777" w:rsidR="00A436DD" w:rsidRPr="007A2AB6" w:rsidRDefault="00A436DD" w:rsidP="006066A6">
            <w:r w:rsidRPr="007A2AB6">
              <w:t>8.981 (3.05-26.439)</w:t>
            </w:r>
          </w:p>
        </w:tc>
        <w:tc>
          <w:tcPr>
            <w:tcW w:w="977" w:type="dxa"/>
          </w:tcPr>
          <w:p w14:paraId="1D2FF63E" w14:textId="77777777" w:rsidR="00A436DD" w:rsidRPr="007A2AB6" w:rsidRDefault="00A436DD" w:rsidP="006066A6">
            <w:r w:rsidRPr="007A2AB6">
              <w:t>&lt;0.001</w:t>
            </w:r>
          </w:p>
        </w:tc>
      </w:tr>
    </w:tbl>
    <w:p w14:paraId="33DC39E8" w14:textId="7886311F" w:rsidR="00F56576" w:rsidRPr="007A2AB6" w:rsidRDefault="00A436DD" w:rsidP="00177F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 xml:space="preserve">S. Table 4: </w:t>
      </w:r>
      <w:r w:rsidRPr="007A2AB6">
        <w:rPr>
          <w:rFonts w:ascii="Times New Roman" w:hAnsi="Times New Roman" w:cs="Times New Roman" w:hint="eastAsia"/>
          <w:sz w:val="24"/>
          <w:szCs w:val="24"/>
        </w:rPr>
        <w:t>Sub</w:t>
      </w:r>
      <w:r w:rsidRPr="007A2AB6">
        <w:rPr>
          <w:rFonts w:ascii="Times New Roman" w:hAnsi="Times New Roman" w:cs="Times New Roman"/>
          <w:sz w:val="24"/>
          <w:szCs w:val="24"/>
        </w:rPr>
        <w:t xml:space="preserve">group analysis of the efficacy of prophylactic transcatheter embolization in non-variceal upper gastrointestinal bleeding. OR: odds ratio. </w:t>
      </w:r>
      <w:proofErr w:type="gramStart"/>
      <w:r w:rsidR="001B771C" w:rsidRPr="007A2A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771C" w:rsidRPr="007A2AB6">
        <w:rPr>
          <w:rFonts w:ascii="Times New Roman" w:hAnsi="Times New Roman" w:cs="Times New Roman"/>
          <w:sz w:val="24"/>
          <w:szCs w:val="24"/>
        </w:rPr>
        <w:t>: Mile 2015; b: Lau 2018; c :</w:t>
      </w:r>
      <w:proofErr w:type="spellStart"/>
      <w:r w:rsidR="001B771C" w:rsidRPr="007A2AB6">
        <w:rPr>
          <w:rFonts w:ascii="Times New Roman" w:hAnsi="Times New Roman" w:cs="Times New Roman"/>
          <w:sz w:val="24"/>
          <w:szCs w:val="24"/>
        </w:rPr>
        <w:t>Laursen</w:t>
      </w:r>
      <w:proofErr w:type="spellEnd"/>
      <w:r w:rsidR="001B771C" w:rsidRPr="007A2AB6">
        <w:rPr>
          <w:rFonts w:ascii="Times New Roman" w:hAnsi="Times New Roman" w:cs="Times New Roman"/>
          <w:sz w:val="24"/>
          <w:szCs w:val="24"/>
        </w:rPr>
        <w:t xml:space="preserve"> 2014; d: </w:t>
      </w:r>
      <w:proofErr w:type="spellStart"/>
      <w:r w:rsidR="001B771C" w:rsidRPr="007A2AB6">
        <w:rPr>
          <w:rFonts w:ascii="Times New Roman" w:hAnsi="Times New Roman" w:cs="Times New Roman"/>
          <w:sz w:val="24"/>
          <w:szCs w:val="24"/>
        </w:rPr>
        <w:t>Kamiski</w:t>
      </w:r>
      <w:proofErr w:type="spellEnd"/>
      <w:r w:rsidR="001B771C" w:rsidRPr="007A2AB6">
        <w:rPr>
          <w:rFonts w:ascii="Times New Roman" w:hAnsi="Times New Roman" w:cs="Times New Roman"/>
          <w:sz w:val="24"/>
          <w:szCs w:val="24"/>
        </w:rPr>
        <w:t xml:space="preserve"> 2017; e: </w:t>
      </w:r>
      <w:proofErr w:type="spellStart"/>
      <w:r w:rsidR="001B771C" w:rsidRPr="007A2AB6">
        <w:rPr>
          <w:rFonts w:ascii="Times New Roman" w:hAnsi="Times New Roman" w:cs="Times New Roman"/>
          <w:sz w:val="24"/>
          <w:szCs w:val="24"/>
        </w:rPr>
        <w:t>Kamiski</w:t>
      </w:r>
      <w:proofErr w:type="spellEnd"/>
      <w:r w:rsidR="001B771C" w:rsidRPr="007A2AB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1E3BD07" w14:textId="78D79872" w:rsidR="00F56576" w:rsidRPr="007A2AB6" w:rsidRDefault="00F56576" w:rsidP="00177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0044A1" w14:textId="77777777" w:rsidR="00F56576" w:rsidRPr="007A2AB6" w:rsidRDefault="00F56576" w:rsidP="00177F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2AB6" w:rsidRPr="007A2AB6" w14:paraId="06399C9C" w14:textId="77777777" w:rsidTr="00622465">
        <w:tc>
          <w:tcPr>
            <w:tcW w:w="3116" w:type="dxa"/>
          </w:tcPr>
          <w:p w14:paraId="0A45E731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Study Omitted</w:t>
            </w:r>
          </w:p>
        </w:tc>
        <w:tc>
          <w:tcPr>
            <w:tcW w:w="3117" w:type="dxa"/>
          </w:tcPr>
          <w:p w14:paraId="36C2F59A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3117" w:type="dxa"/>
          </w:tcPr>
          <w:p w14:paraId="7054F4A0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7A2AB6" w:rsidRPr="007A2AB6" w14:paraId="2024C388" w14:textId="77777777" w:rsidTr="00622465">
        <w:tc>
          <w:tcPr>
            <w:tcW w:w="3116" w:type="dxa"/>
          </w:tcPr>
          <w:p w14:paraId="6B39B129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Mille 2015        </w:t>
            </w:r>
          </w:p>
        </w:tc>
        <w:tc>
          <w:tcPr>
            <w:tcW w:w="3117" w:type="dxa"/>
          </w:tcPr>
          <w:p w14:paraId="1F4E5D58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2.8606365      </w:t>
            </w:r>
          </w:p>
        </w:tc>
        <w:tc>
          <w:tcPr>
            <w:tcW w:w="3117" w:type="dxa"/>
          </w:tcPr>
          <w:p w14:paraId="1C5FBEBB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1.4813247 - 5.5242724</w:t>
            </w:r>
          </w:p>
        </w:tc>
      </w:tr>
      <w:tr w:rsidR="007A2AB6" w:rsidRPr="007A2AB6" w14:paraId="0D8617B8" w14:textId="77777777" w:rsidTr="00622465">
        <w:tc>
          <w:tcPr>
            <w:tcW w:w="3116" w:type="dxa"/>
          </w:tcPr>
          <w:p w14:paraId="3D6E09B4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Lau 2018          </w:t>
            </w:r>
          </w:p>
        </w:tc>
        <w:tc>
          <w:tcPr>
            <w:tcW w:w="3117" w:type="dxa"/>
          </w:tcPr>
          <w:p w14:paraId="41771B4D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2.5500574      </w:t>
            </w:r>
          </w:p>
        </w:tc>
        <w:tc>
          <w:tcPr>
            <w:tcW w:w="3117" w:type="dxa"/>
          </w:tcPr>
          <w:p w14:paraId="115F3BCE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1.2757051 - 5.0974102</w:t>
            </w:r>
          </w:p>
        </w:tc>
      </w:tr>
      <w:tr w:rsidR="007A2AB6" w:rsidRPr="007A2AB6" w14:paraId="251E1C58" w14:textId="77777777" w:rsidTr="00622465">
        <w:tc>
          <w:tcPr>
            <w:tcW w:w="3116" w:type="dxa"/>
          </w:tcPr>
          <w:p w14:paraId="6C48A510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Larusen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2014      </w:t>
            </w:r>
          </w:p>
        </w:tc>
        <w:tc>
          <w:tcPr>
            <w:tcW w:w="3117" w:type="dxa"/>
          </w:tcPr>
          <w:p w14:paraId="39F151FF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2.1709063      </w:t>
            </w:r>
          </w:p>
        </w:tc>
        <w:tc>
          <w:tcPr>
            <w:tcW w:w="3117" w:type="dxa"/>
          </w:tcPr>
          <w:p w14:paraId="79E36EC9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1.2014346 - 3.9226725</w:t>
            </w:r>
          </w:p>
        </w:tc>
      </w:tr>
      <w:tr w:rsidR="007A2AB6" w:rsidRPr="007A2AB6" w14:paraId="20561DB2" w14:textId="77777777" w:rsidTr="00622465">
        <w:tc>
          <w:tcPr>
            <w:tcW w:w="3116" w:type="dxa"/>
          </w:tcPr>
          <w:p w14:paraId="0F32113F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2017      </w:t>
            </w:r>
          </w:p>
        </w:tc>
        <w:tc>
          <w:tcPr>
            <w:tcW w:w="3117" w:type="dxa"/>
          </w:tcPr>
          <w:p w14:paraId="0ECC56FC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2.401356       </w:t>
            </w:r>
          </w:p>
        </w:tc>
        <w:tc>
          <w:tcPr>
            <w:tcW w:w="3117" w:type="dxa"/>
          </w:tcPr>
          <w:p w14:paraId="5031C4C2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1.2882692 - 4.4761691</w:t>
            </w:r>
          </w:p>
        </w:tc>
      </w:tr>
      <w:tr w:rsidR="007A2AB6" w:rsidRPr="007A2AB6" w14:paraId="1047D5FD" w14:textId="77777777" w:rsidTr="00622465">
        <w:tc>
          <w:tcPr>
            <w:tcW w:w="3116" w:type="dxa"/>
          </w:tcPr>
          <w:p w14:paraId="22BDF9A0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2019      </w:t>
            </w:r>
          </w:p>
        </w:tc>
        <w:tc>
          <w:tcPr>
            <w:tcW w:w="3117" w:type="dxa"/>
          </w:tcPr>
          <w:p w14:paraId="6D1E3F4C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1.8683306      </w:t>
            </w:r>
          </w:p>
        </w:tc>
        <w:tc>
          <w:tcPr>
            <w:tcW w:w="3117" w:type="dxa"/>
          </w:tcPr>
          <w:p w14:paraId="3C6F2E16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.99629974 - 3.5036235</w:t>
            </w:r>
          </w:p>
        </w:tc>
      </w:tr>
      <w:tr w:rsidR="007A2AB6" w:rsidRPr="007A2AB6" w14:paraId="2C8FDBD0" w14:textId="77777777" w:rsidTr="00622465">
        <w:tc>
          <w:tcPr>
            <w:tcW w:w="3116" w:type="dxa"/>
          </w:tcPr>
          <w:p w14:paraId="2EE91624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Combined  </w:t>
            </w:r>
          </w:p>
        </w:tc>
        <w:tc>
          <w:tcPr>
            <w:tcW w:w="3117" w:type="dxa"/>
          </w:tcPr>
          <w:p w14:paraId="3F0324A4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2.3438137      </w:t>
            </w:r>
          </w:p>
        </w:tc>
        <w:tc>
          <w:tcPr>
            <w:tcW w:w="3117" w:type="dxa"/>
          </w:tcPr>
          <w:p w14:paraId="76A17EF1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1.328911 - 4.133808</w:t>
            </w:r>
          </w:p>
        </w:tc>
      </w:tr>
    </w:tbl>
    <w:p w14:paraId="25F08292" w14:textId="19FCC785" w:rsidR="00177FF8" w:rsidRPr="007A2AB6" w:rsidRDefault="00177FF8" w:rsidP="00177FF8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 xml:space="preserve">S. Table </w:t>
      </w:r>
      <w:r w:rsidR="00F56576" w:rsidRPr="007A2A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2AB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7A2AB6">
        <w:rPr>
          <w:rFonts w:ascii="Times New Roman" w:hAnsi="Times New Roman" w:cs="Times New Roman"/>
          <w:sz w:val="24"/>
          <w:szCs w:val="24"/>
        </w:rPr>
        <w:t>: Sensitivity Analysis of the odds ratio of rebleeding risk after PTAE versus conservative management.</w:t>
      </w:r>
    </w:p>
    <w:p w14:paraId="16CDE3DF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</w:p>
    <w:p w14:paraId="73ABAAC4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7A0E1014" wp14:editId="088BC8F4">
            <wp:extent cx="5943600" cy="396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095B" w14:textId="76557D74" w:rsidR="00177FF8" w:rsidRPr="007A2AB6" w:rsidRDefault="00177FF8" w:rsidP="00177FF8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>S. Figure 1</w:t>
      </w:r>
      <w:r w:rsidR="00B177ED" w:rsidRPr="007A2AB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7A2AB6">
        <w:rPr>
          <w:rFonts w:ascii="Times New Roman" w:hAnsi="Times New Roman" w:cs="Times New Roman"/>
          <w:sz w:val="24"/>
          <w:szCs w:val="24"/>
        </w:rPr>
        <w:t>: Sensitivity Analysis of the odds ratio of rebleeding risk after PTAE versus conservative management.</w:t>
      </w:r>
    </w:p>
    <w:p w14:paraId="244AAE1E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2AB6" w:rsidRPr="007A2AB6" w14:paraId="3F420C0F" w14:textId="77777777" w:rsidTr="00622465">
        <w:tc>
          <w:tcPr>
            <w:tcW w:w="3116" w:type="dxa"/>
          </w:tcPr>
          <w:p w14:paraId="6006885E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Study Omitted</w:t>
            </w:r>
          </w:p>
        </w:tc>
        <w:tc>
          <w:tcPr>
            <w:tcW w:w="3117" w:type="dxa"/>
          </w:tcPr>
          <w:p w14:paraId="75AA6552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3117" w:type="dxa"/>
          </w:tcPr>
          <w:p w14:paraId="24FDFF90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7A2AB6" w:rsidRPr="007A2AB6" w14:paraId="77D1CB71" w14:textId="77777777" w:rsidTr="00622465">
        <w:tc>
          <w:tcPr>
            <w:tcW w:w="3116" w:type="dxa"/>
          </w:tcPr>
          <w:p w14:paraId="63D55FA2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Mille 2015        </w:t>
            </w:r>
          </w:p>
        </w:tc>
        <w:tc>
          <w:tcPr>
            <w:tcW w:w="3117" w:type="dxa"/>
          </w:tcPr>
          <w:p w14:paraId="0BC2AEEF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3.1018512      </w:t>
            </w:r>
          </w:p>
        </w:tc>
        <w:tc>
          <w:tcPr>
            <w:tcW w:w="3117" w:type="dxa"/>
          </w:tcPr>
          <w:p w14:paraId="46BDBB93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1.2680222 - 7.5877862</w:t>
            </w:r>
          </w:p>
        </w:tc>
      </w:tr>
      <w:tr w:rsidR="007A2AB6" w:rsidRPr="007A2AB6" w14:paraId="087F3F7C" w14:textId="77777777" w:rsidTr="00622465">
        <w:tc>
          <w:tcPr>
            <w:tcW w:w="3116" w:type="dxa"/>
          </w:tcPr>
          <w:p w14:paraId="4676B479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Lau 2018          </w:t>
            </w:r>
          </w:p>
        </w:tc>
        <w:tc>
          <w:tcPr>
            <w:tcW w:w="3117" w:type="dxa"/>
          </w:tcPr>
          <w:p w14:paraId="52F65AB3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1.8166653      </w:t>
            </w:r>
          </w:p>
        </w:tc>
        <w:tc>
          <w:tcPr>
            <w:tcW w:w="3117" w:type="dxa"/>
          </w:tcPr>
          <w:p w14:paraId="50026F93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.89489925 - 3.6878705</w:t>
            </w:r>
          </w:p>
        </w:tc>
      </w:tr>
      <w:tr w:rsidR="007A2AB6" w:rsidRPr="007A2AB6" w14:paraId="173118AB" w14:textId="77777777" w:rsidTr="00622465">
        <w:tc>
          <w:tcPr>
            <w:tcW w:w="3116" w:type="dxa"/>
          </w:tcPr>
          <w:p w14:paraId="14B32CCD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Larusen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2014      </w:t>
            </w:r>
          </w:p>
        </w:tc>
        <w:tc>
          <w:tcPr>
            <w:tcW w:w="3117" w:type="dxa"/>
          </w:tcPr>
          <w:p w14:paraId="38CA6327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1.8427566      </w:t>
            </w:r>
          </w:p>
        </w:tc>
        <w:tc>
          <w:tcPr>
            <w:tcW w:w="3117" w:type="dxa"/>
          </w:tcPr>
          <w:p w14:paraId="474AAF3A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.89437312 - 3.7967956</w:t>
            </w:r>
          </w:p>
        </w:tc>
      </w:tr>
      <w:tr w:rsidR="007A2AB6" w:rsidRPr="007A2AB6" w14:paraId="0C1B9518" w14:textId="77777777" w:rsidTr="00622465">
        <w:tc>
          <w:tcPr>
            <w:tcW w:w="3116" w:type="dxa"/>
          </w:tcPr>
          <w:p w14:paraId="518C0E5E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2017      </w:t>
            </w:r>
          </w:p>
        </w:tc>
        <w:tc>
          <w:tcPr>
            <w:tcW w:w="3117" w:type="dxa"/>
          </w:tcPr>
          <w:p w14:paraId="05101979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1.8780748      </w:t>
            </w:r>
          </w:p>
        </w:tc>
        <w:tc>
          <w:tcPr>
            <w:tcW w:w="3117" w:type="dxa"/>
          </w:tcPr>
          <w:p w14:paraId="55ADEAF5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.91301966 - 3.8631861</w:t>
            </w:r>
          </w:p>
        </w:tc>
      </w:tr>
      <w:tr w:rsidR="007A2AB6" w:rsidRPr="007A2AB6" w14:paraId="68C5561C" w14:textId="77777777" w:rsidTr="00622465">
        <w:tc>
          <w:tcPr>
            <w:tcW w:w="3116" w:type="dxa"/>
          </w:tcPr>
          <w:p w14:paraId="19337643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Kamiski</w:t>
            </w:r>
            <w:proofErr w:type="spellEnd"/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 2019      </w:t>
            </w:r>
          </w:p>
        </w:tc>
        <w:tc>
          <w:tcPr>
            <w:tcW w:w="3117" w:type="dxa"/>
          </w:tcPr>
          <w:p w14:paraId="664CB92F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2.3633807      </w:t>
            </w:r>
          </w:p>
        </w:tc>
        <w:tc>
          <w:tcPr>
            <w:tcW w:w="3117" w:type="dxa"/>
          </w:tcPr>
          <w:p w14:paraId="28693FE7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1.0529445 - 5.3047128</w:t>
            </w:r>
          </w:p>
        </w:tc>
      </w:tr>
      <w:tr w:rsidR="007A2AB6" w:rsidRPr="007A2AB6" w14:paraId="5F462C12" w14:textId="77777777" w:rsidTr="00622465">
        <w:tc>
          <w:tcPr>
            <w:tcW w:w="3116" w:type="dxa"/>
          </w:tcPr>
          <w:p w14:paraId="75855E2A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Combined  </w:t>
            </w:r>
          </w:p>
        </w:tc>
        <w:tc>
          <w:tcPr>
            <w:tcW w:w="3117" w:type="dxa"/>
          </w:tcPr>
          <w:p w14:paraId="187A63FA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 xml:space="preserve">2.1060643      </w:t>
            </w:r>
          </w:p>
        </w:tc>
        <w:tc>
          <w:tcPr>
            <w:tcW w:w="3117" w:type="dxa"/>
          </w:tcPr>
          <w:p w14:paraId="2A5A24E5" w14:textId="77777777" w:rsidR="00177FF8" w:rsidRPr="007A2AB6" w:rsidRDefault="00177FF8" w:rsidP="006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B6">
              <w:rPr>
                <w:rFonts w:ascii="Times New Roman" w:hAnsi="Times New Roman" w:cs="Times New Roman"/>
                <w:sz w:val="24"/>
                <w:szCs w:val="24"/>
              </w:rPr>
              <w:t>1.0676613 - 4.1544137</w:t>
            </w:r>
          </w:p>
        </w:tc>
      </w:tr>
    </w:tbl>
    <w:p w14:paraId="2215A84D" w14:textId="50CA1154" w:rsidR="00177FF8" w:rsidRPr="007A2AB6" w:rsidRDefault="00177FF8" w:rsidP="00177FF8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 xml:space="preserve">S. Table </w:t>
      </w:r>
      <w:r w:rsidR="00F56576" w:rsidRPr="007A2A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2AB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7A2AB6">
        <w:rPr>
          <w:rFonts w:ascii="Times New Roman" w:hAnsi="Times New Roman" w:cs="Times New Roman"/>
          <w:sz w:val="24"/>
          <w:szCs w:val="24"/>
        </w:rPr>
        <w:t>: Sensitivity Analysis of the odds ratio of mortality after PTAE versus conservative management.</w:t>
      </w:r>
    </w:p>
    <w:p w14:paraId="33E64BD2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</w:p>
    <w:p w14:paraId="24F77375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75A8EB84" wp14:editId="6C600D9A">
            <wp:extent cx="5943600" cy="396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23E0" w14:textId="4170DCC8" w:rsidR="00177FF8" w:rsidRPr="007A2AB6" w:rsidRDefault="00177FF8" w:rsidP="00177FF8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6">
        <w:rPr>
          <w:rFonts w:ascii="Times New Roman" w:hAnsi="Times New Roman" w:cs="Times New Roman"/>
          <w:b/>
          <w:bCs/>
          <w:sz w:val="24"/>
          <w:szCs w:val="24"/>
        </w:rPr>
        <w:t xml:space="preserve">S. Figure </w:t>
      </w:r>
      <w:r w:rsidR="00B177ED" w:rsidRPr="007A2A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A2A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2AB6">
        <w:rPr>
          <w:rFonts w:ascii="Times New Roman" w:hAnsi="Times New Roman" w:cs="Times New Roman"/>
          <w:sz w:val="24"/>
          <w:szCs w:val="24"/>
        </w:rPr>
        <w:t>: Sensitivity Analysis of the odds ratio of rebleeding risk after PTAE versus conservative management.</w:t>
      </w:r>
    </w:p>
    <w:p w14:paraId="3616B970" w14:textId="77777777" w:rsidR="00177FF8" w:rsidRPr="007A2AB6" w:rsidRDefault="00177FF8" w:rsidP="00177FF8">
      <w:pPr>
        <w:rPr>
          <w:rFonts w:ascii="Times New Roman" w:hAnsi="Times New Roman" w:cs="Times New Roman"/>
          <w:sz w:val="24"/>
          <w:szCs w:val="24"/>
        </w:rPr>
      </w:pPr>
    </w:p>
    <w:p w14:paraId="16ADE863" w14:textId="62C64605" w:rsidR="00177FF8" w:rsidRPr="007A2AB6" w:rsidRDefault="00177FF8">
      <w:pPr>
        <w:rPr>
          <w:rFonts w:ascii="Times New Roman" w:hAnsi="Times New Roman" w:cs="Times New Roman"/>
          <w:sz w:val="24"/>
          <w:szCs w:val="24"/>
        </w:rPr>
      </w:pPr>
    </w:p>
    <w:p w14:paraId="778FCD53" w14:textId="77777777" w:rsidR="00A863F4" w:rsidRPr="007A2AB6" w:rsidRDefault="00A863F4" w:rsidP="00A863F4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91"/>
        <w:tblOverlap w:val="never"/>
        <w:tblW w:w="9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147"/>
        <w:gridCol w:w="866"/>
        <w:gridCol w:w="1015"/>
        <w:gridCol w:w="1055"/>
        <w:gridCol w:w="1008"/>
        <w:gridCol w:w="860"/>
        <w:gridCol w:w="973"/>
        <w:gridCol w:w="859"/>
        <w:gridCol w:w="644"/>
      </w:tblGrid>
      <w:tr w:rsidR="007A2AB6" w:rsidRPr="007A2AB6" w14:paraId="39E5AC87" w14:textId="77777777" w:rsidTr="00622465">
        <w:trPr>
          <w:trHeight w:val="644"/>
        </w:trPr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4E6BB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47E42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Selection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C7A27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Comparability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6EB48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CFD13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Overall </w:t>
            </w:r>
          </w:p>
        </w:tc>
      </w:tr>
      <w:tr w:rsidR="007A2AB6" w:rsidRPr="007A2AB6" w14:paraId="0AAE5F7A" w14:textId="77777777" w:rsidTr="00622465">
        <w:trPr>
          <w:trHeight w:val="3144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187CCD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8A26F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Representativeness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of the exposed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cohort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C4D9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Selection</w:t>
            </w:r>
          </w:p>
          <w:p w14:paraId="3D3AA9AC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 </w:t>
            </w:r>
            <w:r w:rsidRPr="007A2AB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non</w:t>
            </w:r>
            <w:r w:rsidRPr="007A2AB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-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exposed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cohort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C0E51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Ascertainment</w:t>
            </w:r>
          </w:p>
          <w:p w14:paraId="2E0E034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</w:p>
          <w:p w14:paraId="6AA1A4EB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0C68D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b/>
                <w:sz w:val="16"/>
                <w:szCs w:val="16"/>
              </w:rPr>
              <w:t>Outcome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</w:t>
            </w:r>
          </w:p>
          <w:p w14:paraId="0E0E00B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Interest</w:t>
            </w:r>
            <w:r w:rsidRPr="007A2AB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was</w:t>
            </w:r>
          </w:p>
          <w:p w14:paraId="4A3F339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not present</w:t>
            </w: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at start of study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0FE2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Comparability of Cohorts on the Basis of the Design or Analysis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A48FC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Assessment of</w:t>
            </w:r>
          </w:p>
          <w:p w14:paraId="0AFEDD5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0F40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Follow-Up Long Enough for Outcomes to Occur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FB9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rFonts w:ascii="Times New Roman" w:hAnsi="Times New Roman" w:cs="Times New Roman"/>
                <w:b/>
                <w:sz w:val="16"/>
                <w:szCs w:val="16"/>
              </w:rPr>
              <w:t>Adequacy of Follow Up of Cohorts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59AF7F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AB6" w:rsidRPr="007A2AB6" w14:paraId="5D145964" w14:textId="77777777" w:rsidTr="00622465">
        <w:trPr>
          <w:trHeight w:val="644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719B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lastRenderedPageBreak/>
              <w:t>Mille 2005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408C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8EA4A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0F1E6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D64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62854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★☆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60EFB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9A5BF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88640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31472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b/>
                <w:sz w:val="16"/>
                <w:szCs w:val="16"/>
              </w:rPr>
              <w:t>8</w:t>
            </w:r>
          </w:p>
        </w:tc>
      </w:tr>
      <w:tr w:rsidR="007A2AB6" w:rsidRPr="007A2AB6" w14:paraId="0E75B8D5" w14:textId="77777777" w:rsidTr="00622465">
        <w:trPr>
          <w:trHeight w:val="622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63475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B6">
              <w:rPr>
                <w:sz w:val="16"/>
                <w:szCs w:val="16"/>
              </w:rPr>
              <w:t>Kamiski</w:t>
            </w:r>
            <w:proofErr w:type="spellEnd"/>
            <w:r w:rsidRPr="007A2AB6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75242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7B3A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34454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FF58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0889E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★☆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5F157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84536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401B4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25579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b/>
                <w:sz w:val="16"/>
                <w:szCs w:val="16"/>
              </w:rPr>
              <w:t>7</w:t>
            </w:r>
          </w:p>
        </w:tc>
      </w:tr>
      <w:tr w:rsidR="007A2AB6" w:rsidRPr="007A2AB6" w14:paraId="2D228011" w14:textId="77777777" w:rsidTr="00622465">
        <w:trPr>
          <w:trHeight w:val="622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08DDB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AB6">
              <w:rPr>
                <w:sz w:val="16"/>
                <w:szCs w:val="16"/>
              </w:rPr>
              <w:t>Kamiski</w:t>
            </w:r>
            <w:proofErr w:type="spellEnd"/>
            <w:r w:rsidRPr="007A2AB6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EF987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78A43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FD421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BAC5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F0E07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★☆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0320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6C1A2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Style w:val="fontstyle01"/>
                <w:rFonts w:ascii="Segoe UI Symbol" w:hAnsi="Segoe UI Symbol" w:cs="Segoe UI Symbol"/>
                <w:color w:val="auto"/>
                <w:sz w:val="16"/>
                <w:szCs w:val="16"/>
              </w:rPr>
              <w:t>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49FA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B6">
              <w:rPr>
                <w:rFonts w:ascii="Segoe UI Symbol" w:eastAsia="AdvOTb0c9bf5d + 26" w:hAnsi="Segoe UI Symbol" w:cs="Segoe UI Symbol"/>
                <w:sz w:val="16"/>
                <w:szCs w:val="16"/>
              </w:rPr>
              <w:t>☆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5EBC4" w14:textId="77777777" w:rsidR="00A863F4" w:rsidRPr="007A2AB6" w:rsidRDefault="00A863F4" w:rsidP="00622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AB6">
              <w:rPr>
                <w:b/>
                <w:sz w:val="16"/>
                <w:szCs w:val="16"/>
              </w:rPr>
              <w:t>7</w:t>
            </w:r>
          </w:p>
        </w:tc>
      </w:tr>
    </w:tbl>
    <w:p w14:paraId="1F97D90E" w14:textId="77777777" w:rsidR="00A863F4" w:rsidRPr="007A2AB6" w:rsidRDefault="00A863F4" w:rsidP="00A863F4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14:paraId="1F6EAF80" w14:textId="1EFFC8F5" w:rsidR="00A863F4" w:rsidRPr="007A2AB6" w:rsidRDefault="00A863F4" w:rsidP="00A863F4">
      <w:pPr>
        <w:rPr>
          <w:rFonts w:ascii="Times New Roman" w:hAnsi="Times New Roman" w:cs="Times New Roman"/>
          <w:sz w:val="16"/>
          <w:szCs w:val="16"/>
        </w:rPr>
      </w:pPr>
      <w:r w:rsidRPr="007A2AB6">
        <w:rPr>
          <w:rFonts w:ascii="Times New Roman" w:hAnsi="Times New Roman" w:cs="Times New Roman"/>
          <w:b/>
          <w:sz w:val="16"/>
          <w:szCs w:val="16"/>
        </w:rPr>
        <w:t>Supplement Table 6.1</w:t>
      </w:r>
      <w:r w:rsidRPr="007A2AB6">
        <w:rPr>
          <w:rFonts w:ascii="Times New Roman" w:hAnsi="Times New Roman" w:cs="Times New Roman" w:hint="eastAsia"/>
          <w:b/>
          <w:bCs/>
          <w:sz w:val="16"/>
          <w:szCs w:val="16"/>
        </w:rPr>
        <w:t>:</w:t>
      </w:r>
      <w:r w:rsidRPr="007A2A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A2AB6">
        <w:rPr>
          <w:rFonts w:ascii="Times New Roman" w:hAnsi="Times New Roman" w:cs="Times New Roman" w:hint="eastAsia"/>
          <w:b/>
          <w:bCs/>
          <w:sz w:val="16"/>
          <w:szCs w:val="16"/>
        </w:rPr>
        <w:t>Newcastle Ottawa Scale (NOS) of cohort studies was used to evaluate the quality for each eligible study.</w:t>
      </w:r>
      <w:r w:rsidRPr="007A2AB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44F8AED" w14:textId="77777777" w:rsidR="00A863F4" w:rsidRPr="007A2AB6" w:rsidRDefault="00A863F4" w:rsidP="00A863F4">
      <w:pPr>
        <w:rPr>
          <w:sz w:val="16"/>
          <w:szCs w:val="16"/>
        </w:rPr>
      </w:pPr>
    </w:p>
    <w:p w14:paraId="2A91A69A" w14:textId="77777777" w:rsidR="00A863F4" w:rsidRPr="007A2AB6" w:rsidRDefault="00A863F4" w:rsidP="00A863F4">
      <w:pPr>
        <w:rPr>
          <w:sz w:val="16"/>
          <w:szCs w:val="16"/>
        </w:rPr>
      </w:pPr>
    </w:p>
    <w:p w14:paraId="30B12934" w14:textId="77777777" w:rsidR="00A863F4" w:rsidRPr="007A2AB6" w:rsidRDefault="00A863F4" w:rsidP="00A863F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31"/>
        <w:gridCol w:w="1076"/>
        <w:gridCol w:w="1105"/>
        <w:gridCol w:w="1032"/>
        <w:gridCol w:w="1030"/>
        <w:gridCol w:w="1028"/>
        <w:gridCol w:w="1023"/>
        <w:gridCol w:w="1008"/>
      </w:tblGrid>
      <w:tr w:rsidR="007A2AB6" w:rsidRPr="007A2AB6" w14:paraId="233B2811" w14:textId="77777777" w:rsidTr="00622465">
        <w:tc>
          <w:tcPr>
            <w:tcW w:w="1020" w:type="dxa"/>
            <w:vMerge w:val="restart"/>
          </w:tcPr>
          <w:p w14:paraId="17867FC4" w14:textId="77777777" w:rsidR="00A863F4" w:rsidRPr="007A2AB6" w:rsidRDefault="00A863F4" w:rsidP="00622465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Study</w:t>
            </w:r>
          </w:p>
        </w:tc>
        <w:tc>
          <w:tcPr>
            <w:tcW w:w="2093" w:type="dxa"/>
            <w:gridSpan w:val="2"/>
          </w:tcPr>
          <w:p w14:paraId="1DE04DCF" w14:textId="77777777" w:rsidR="00A863F4" w:rsidRPr="007A2AB6" w:rsidRDefault="00A863F4" w:rsidP="00622465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>Selection Bias</w:t>
            </w:r>
          </w:p>
        </w:tc>
        <w:tc>
          <w:tcPr>
            <w:tcW w:w="1105" w:type="dxa"/>
          </w:tcPr>
          <w:p w14:paraId="4115BC3D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rFonts w:hint="eastAsia"/>
                <w:b/>
                <w:bCs/>
                <w:sz w:val="16"/>
                <w:szCs w:val="16"/>
              </w:rPr>
              <w:t>Performance</w:t>
            </w:r>
            <w:r w:rsidRPr="007A2AB6">
              <w:rPr>
                <w:b/>
                <w:bCs/>
                <w:sz w:val="16"/>
                <w:szCs w:val="16"/>
              </w:rPr>
              <w:t xml:space="preserve"> Bias</w:t>
            </w:r>
          </w:p>
        </w:tc>
        <w:tc>
          <w:tcPr>
            <w:tcW w:w="1033" w:type="dxa"/>
          </w:tcPr>
          <w:p w14:paraId="79E35948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>Detection Bias</w:t>
            </w:r>
          </w:p>
        </w:tc>
        <w:tc>
          <w:tcPr>
            <w:tcW w:w="1031" w:type="dxa"/>
          </w:tcPr>
          <w:p w14:paraId="21E5194B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>Attrition Bias</w:t>
            </w:r>
          </w:p>
        </w:tc>
        <w:tc>
          <w:tcPr>
            <w:tcW w:w="1030" w:type="dxa"/>
          </w:tcPr>
          <w:p w14:paraId="6D0808B7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>Reporting Bias</w:t>
            </w:r>
          </w:p>
        </w:tc>
        <w:tc>
          <w:tcPr>
            <w:tcW w:w="1025" w:type="dxa"/>
          </w:tcPr>
          <w:p w14:paraId="684356B4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>Other Bias</w:t>
            </w:r>
          </w:p>
        </w:tc>
        <w:tc>
          <w:tcPr>
            <w:tcW w:w="1013" w:type="dxa"/>
          </w:tcPr>
          <w:p w14:paraId="7A622BE7" w14:textId="77777777" w:rsidR="00A863F4" w:rsidRPr="007A2AB6" w:rsidRDefault="00A863F4" w:rsidP="00622465">
            <w:pPr>
              <w:rPr>
                <w:b/>
                <w:bCs/>
                <w:sz w:val="16"/>
                <w:szCs w:val="16"/>
              </w:rPr>
            </w:pPr>
            <w:r w:rsidRPr="007A2AB6">
              <w:rPr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7A2AB6" w:rsidRPr="007A2AB6" w14:paraId="454F5042" w14:textId="77777777" w:rsidTr="00622465">
        <w:tc>
          <w:tcPr>
            <w:tcW w:w="1020" w:type="dxa"/>
            <w:vMerge/>
          </w:tcPr>
          <w:p w14:paraId="2F7CE46D" w14:textId="77777777" w:rsidR="00A863F4" w:rsidRPr="007A2AB6" w:rsidRDefault="00A863F4" w:rsidP="00622465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6553F1AD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Random Sequence Generation</w:t>
            </w:r>
          </w:p>
        </w:tc>
        <w:tc>
          <w:tcPr>
            <w:tcW w:w="1061" w:type="dxa"/>
          </w:tcPr>
          <w:p w14:paraId="606B7002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Allocation Concealment</w:t>
            </w:r>
          </w:p>
        </w:tc>
        <w:tc>
          <w:tcPr>
            <w:tcW w:w="1105" w:type="dxa"/>
          </w:tcPr>
          <w:p w14:paraId="14B4E7BA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Blinding of Participants and Personnel</w:t>
            </w:r>
          </w:p>
        </w:tc>
        <w:tc>
          <w:tcPr>
            <w:tcW w:w="1033" w:type="dxa"/>
          </w:tcPr>
          <w:p w14:paraId="7B2A8CBB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Blinding of Outcome Assessment</w:t>
            </w:r>
          </w:p>
        </w:tc>
        <w:tc>
          <w:tcPr>
            <w:tcW w:w="1031" w:type="dxa"/>
          </w:tcPr>
          <w:p w14:paraId="2A65CAAF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Incomplete Outcome Data</w:t>
            </w:r>
          </w:p>
        </w:tc>
        <w:tc>
          <w:tcPr>
            <w:tcW w:w="1030" w:type="dxa"/>
          </w:tcPr>
          <w:p w14:paraId="1E1D730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Selective Reporting</w:t>
            </w:r>
          </w:p>
        </w:tc>
        <w:tc>
          <w:tcPr>
            <w:tcW w:w="1025" w:type="dxa"/>
          </w:tcPr>
          <w:p w14:paraId="6AD23951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Many patients allocated to the treatment group did not end up receiving the treatment</w:t>
            </w:r>
          </w:p>
        </w:tc>
        <w:tc>
          <w:tcPr>
            <w:tcW w:w="1013" w:type="dxa"/>
          </w:tcPr>
          <w:p w14:paraId="1DEDC29A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 on Risk of Bias</w:t>
            </w:r>
          </w:p>
        </w:tc>
      </w:tr>
      <w:tr w:rsidR="007A2AB6" w:rsidRPr="007A2AB6" w14:paraId="593EFBA8" w14:textId="77777777" w:rsidTr="00622465">
        <w:tc>
          <w:tcPr>
            <w:tcW w:w="1020" w:type="dxa"/>
          </w:tcPr>
          <w:p w14:paraId="0EC6C44E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 xml:space="preserve">Lau </w:t>
            </w:r>
          </w:p>
        </w:tc>
        <w:tc>
          <w:tcPr>
            <w:tcW w:w="1032" w:type="dxa"/>
          </w:tcPr>
          <w:p w14:paraId="7A658D0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rFonts w:hint="eastAsia"/>
                <w:sz w:val="16"/>
                <w:szCs w:val="16"/>
              </w:rPr>
              <w:t>Low</w:t>
            </w:r>
          </w:p>
        </w:tc>
        <w:tc>
          <w:tcPr>
            <w:tcW w:w="1061" w:type="dxa"/>
          </w:tcPr>
          <w:p w14:paraId="24DFEADC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105" w:type="dxa"/>
          </w:tcPr>
          <w:p w14:paraId="3D41BF1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033" w:type="dxa"/>
          </w:tcPr>
          <w:p w14:paraId="1E4C553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031" w:type="dxa"/>
          </w:tcPr>
          <w:p w14:paraId="716D9E27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</w:t>
            </w:r>
          </w:p>
        </w:tc>
        <w:tc>
          <w:tcPr>
            <w:tcW w:w="1030" w:type="dxa"/>
          </w:tcPr>
          <w:p w14:paraId="15593E73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</w:t>
            </w:r>
          </w:p>
        </w:tc>
        <w:tc>
          <w:tcPr>
            <w:tcW w:w="1025" w:type="dxa"/>
          </w:tcPr>
          <w:p w14:paraId="1BBD740F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013" w:type="dxa"/>
          </w:tcPr>
          <w:p w14:paraId="4E1A125B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3/7</w:t>
            </w:r>
          </w:p>
        </w:tc>
      </w:tr>
      <w:tr w:rsidR="007A2AB6" w:rsidRPr="007A2AB6" w14:paraId="4EF91AC3" w14:textId="77777777" w:rsidTr="00622465">
        <w:tc>
          <w:tcPr>
            <w:tcW w:w="1020" w:type="dxa"/>
          </w:tcPr>
          <w:p w14:paraId="60494AA0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proofErr w:type="spellStart"/>
            <w:r w:rsidRPr="007A2AB6">
              <w:rPr>
                <w:sz w:val="16"/>
                <w:szCs w:val="16"/>
              </w:rPr>
              <w:t>Laursen</w:t>
            </w:r>
            <w:proofErr w:type="spellEnd"/>
          </w:p>
        </w:tc>
        <w:tc>
          <w:tcPr>
            <w:tcW w:w="1032" w:type="dxa"/>
          </w:tcPr>
          <w:p w14:paraId="76C0B9DB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</w:t>
            </w:r>
          </w:p>
        </w:tc>
        <w:tc>
          <w:tcPr>
            <w:tcW w:w="1061" w:type="dxa"/>
          </w:tcPr>
          <w:p w14:paraId="5AA70FAD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105" w:type="dxa"/>
          </w:tcPr>
          <w:p w14:paraId="5611494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033" w:type="dxa"/>
          </w:tcPr>
          <w:p w14:paraId="7034CBB5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031" w:type="dxa"/>
          </w:tcPr>
          <w:p w14:paraId="3477D152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</w:t>
            </w:r>
          </w:p>
        </w:tc>
        <w:tc>
          <w:tcPr>
            <w:tcW w:w="1030" w:type="dxa"/>
          </w:tcPr>
          <w:p w14:paraId="73A60649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Low</w:t>
            </w:r>
          </w:p>
        </w:tc>
        <w:tc>
          <w:tcPr>
            <w:tcW w:w="1025" w:type="dxa"/>
          </w:tcPr>
          <w:p w14:paraId="434C1402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High</w:t>
            </w:r>
          </w:p>
        </w:tc>
        <w:tc>
          <w:tcPr>
            <w:tcW w:w="1013" w:type="dxa"/>
          </w:tcPr>
          <w:p w14:paraId="58A8635F" w14:textId="77777777" w:rsidR="00A863F4" w:rsidRPr="007A2AB6" w:rsidRDefault="00A863F4" w:rsidP="00622465">
            <w:pPr>
              <w:rPr>
                <w:sz w:val="16"/>
                <w:szCs w:val="16"/>
              </w:rPr>
            </w:pPr>
            <w:r w:rsidRPr="007A2AB6">
              <w:rPr>
                <w:sz w:val="16"/>
                <w:szCs w:val="16"/>
              </w:rPr>
              <w:t>3/7</w:t>
            </w:r>
          </w:p>
        </w:tc>
      </w:tr>
    </w:tbl>
    <w:p w14:paraId="45849038" w14:textId="6ED9EA66" w:rsidR="00A863F4" w:rsidRPr="007A2AB6" w:rsidRDefault="00A863F4" w:rsidP="00A863F4">
      <w:pPr>
        <w:rPr>
          <w:rFonts w:ascii="Times New Roman" w:hAnsi="Times New Roman" w:cs="Times New Roman"/>
          <w:sz w:val="16"/>
          <w:szCs w:val="16"/>
        </w:rPr>
      </w:pPr>
      <w:r w:rsidRPr="007A2AB6">
        <w:rPr>
          <w:rFonts w:ascii="Times New Roman" w:hAnsi="Times New Roman" w:cs="Times New Roman"/>
          <w:b/>
          <w:sz w:val="16"/>
          <w:szCs w:val="16"/>
        </w:rPr>
        <w:t>Supplement Table 6.2</w:t>
      </w:r>
      <w:r w:rsidRPr="007A2AB6">
        <w:rPr>
          <w:rFonts w:ascii="Times New Roman" w:hAnsi="Times New Roman" w:cs="Times New Roman" w:hint="eastAsia"/>
          <w:b/>
          <w:bCs/>
          <w:sz w:val="16"/>
          <w:szCs w:val="16"/>
        </w:rPr>
        <w:t>:</w:t>
      </w:r>
      <w:r w:rsidRPr="007A2AB6">
        <w:rPr>
          <w:rFonts w:ascii="Times New Roman" w:hAnsi="Times New Roman" w:cs="Times New Roman"/>
          <w:b/>
          <w:bCs/>
          <w:sz w:val="16"/>
          <w:szCs w:val="16"/>
        </w:rPr>
        <w:t xml:space="preserve"> The Cochrane Collaboration’s tool for assessing risk of bias in randomized trials.</w:t>
      </w:r>
    </w:p>
    <w:p w14:paraId="099D84F8" w14:textId="77777777" w:rsidR="00A863F4" w:rsidRPr="007A2AB6" w:rsidRDefault="00A863F4" w:rsidP="00A863F4">
      <w:pPr>
        <w:rPr>
          <w:sz w:val="16"/>
          <w:szCs w:val="16"/>
        </w:rPr>
      </w:pPr>
    </w:p>
    <w:p w14:paraId="7B02E2A6" w14:textId="77777777" w:rsidR="00A863F4" w:rsidRPr="007A2AB6" w:rsidRDefault="00A863F4" w:rsidP="00A863F4">
      <w:pPr>
        <w:rPr>
          <w:sz w:val="16"/>
          <w:szCs w:val="16"/>
        </w:rPr>
      </w:pPr>
    </w:p>
    <w:p w14:paraId="6B79294C" w14:textId="77777777" w:rsidR="00A863F4" w:rsidRPr="007A2AB6" w:rsidRDefault="00A863F4">
      <w:pPr>
        <w:rPr>
          <w:rFonts w:ascii="Times New Roman" w:hAnsi="Times New Roman" w:cs="Times New Roman"/>
          <w:sz w:val="24"/>
          <w:szCs w:val="24"/>
        </w:rPr>
      </w:pPr>
    </w:p>
    <w:sectPr w:rsidR="00A863F4" w:rsidRPr="007A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17D6" w14:textId="77777777" w:rsidR="00DA1439" w:rsidRDefault="00DA1439" w:rsidP="00EF7126">
      <w:pPr>
        <w:spacing w:after="0" w:line="240" w:lineRule="auto"/>
      </w:pPr>
      <w:r>
        <w:separator/>
      </w:r>
    </w:p>
  </w:endnote>
  <w:endnote w:type="continuationSeparator" w:id="0">
    <w:p w14:paraId="6A4BB802" w14:textId="77777777" w:rsidR="00DA1439" w:rsidRDefault="00DA1439" w:rsidP="00E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Times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vOTb0c9bf5d + 26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C71B" w14:textId="77777777" w:rsidR="00EF7126" w:rsidRDefault="00EF7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4B5C" w14:textId="77777777" w:rsidR="00EF7126" w:rsidRDefault="00EF7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8E63" w14:textId="77777777" w:rsidR="00EF7126" w:rsidRDefault="00EF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D059" w14:textId="77777777" w:rsidR="00DA1439" w:rsidRDefault="00DA1439" w:rsidP="00EF7126">
      <w:pPr>
        <w:spacing w:after="0" w:line="240" w:lineRule="auto"/>
      </w:pPr>
      <w:r>
        <w:separator/>
      </w:r>
    </w:p>
  </w:footnote>
  <w:footnote w:type="continuationSeparator" w:id="0">
    <w:p w14:paraId="4E8C638A" w14:textId="77777777" w:rsidR="00DA1439" w:rsidRDefault="00DA1439" w:rsidP="00EF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068A" w14:textId="77777777" w:rsidR="00EF7126" w:rsidRDefault="00EF7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BCAE" w14:textId="77777777" w:rsidR="00EF7126" w:rsidRDefault="00EF7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9E09" w14:textId="77777777" w:rsidR="00EF7126" w:rsidRDefault="00EF7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E6"/>
    <w:rsid w:val="00073C30"/>
    <w:rsid w:val="00177FF8"/>
    <w:rsid w:val="001B771C"/>
    <w:rsid w:val="003C5B5D"/>
    <w:rsid w:val="005E3482"/>
    <w:rsid w:val="00600092"/>
    <w:rsid w:val="006D23EC"/>
    <w:rsid w:val="007A2AB6"/>
    <w:rsid w:val="00A436DD"/>
    <w:rsid w:val="00A81959"/>
    <w:rsid w:val="00A863F4"/>
    <w:rsid w:val="00B177ED"/>
    <w:rsid w:val="00B63F12"/>
    <w:rsid w:val="00DA1439"/>
    <w:rsid w:val="00EB22E6"/>
    <w:rsid w:val="00EF7126"/>
    <w:rsid w:val="00F5657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A4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EB22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qFormat/>
    <w:rsid w:val="0017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863F4"/>
    <w:rPr>
      <w:rFonts w:ascii="AdvPTimes" w:eastAsia="AdvPTimes" w:hAnsi="AdvPTimes" w:cs="AdvPTimes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26"/>
  </w:style>
  <w:style w:type="paragraph" w:styleId="Footer">
    <w:name w:val="footer"/>
    <w:basedOn w:val="Normal"/>
    <w:link w:val="FooterChar"/>
    <w:uiPriority w:val="99"/>
    <w:unhideWhenUsed/>
    <w:rsid w:val="00E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2020-10-06T13:55:00Z</dcterms:created>
  <dcterms:modified xsi:type="dcterms:W3CDTF">2020-10-06T13:55:00Z</dcterms:modified>
</cp:coreProperties>
</file>