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4C928" w14:textId="6397ED9D" w:rsidR="0047353C" w:rsidRDefault="006644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t</w:t>
      </w:r>
      <w:r w:rsidR="0008742B">
        <w:rPr>
          <w:rFonts w:ascii="Times New Roman" w:hAnsi="Times New Roman" w:cs="Times New Roman"/>
        </w:rPr>
        <w:t>able 1</w:t>
      </w:r>
      <w:r>
        <w:rPr>
          <w:rFonts w:ascii="Times New Roman" w:hAnsi="Times New Roman" w:cs="Times New Roman"/>
        </w:rPr>
        <w:t>: T</w:t>
      </w:r>
      <w:r w:rsidRPr="0066445A">
        <w:rPr>
          <w:rFonts w:ascii="Times New Roman" w:hAnsi="Times New Roman" w:cs="Times New Roman"/>
        </w:rPr>
        <w:t>he exclusion cause and names of the excluded RCTs</w:t>
      </w:r>
      <w:r>
        <w:rPr>
          <w:rFonts w:ascii="Times New Roman" w:hAnsi="Times New Roman" w:cs="Times New Roman"/>
        </w:rPr>
        <w:t xml:space="preserve"> as </w:t>
      </w:r>
      <w:r w:rsidRPr="003A73F7">
        <w:rPr>
          <w:rFonts w:ascii="Times New Roman" w:hAnsi="Times New Roman" w:cs="Times New Roman"/>
        </w:rPr>
        <w:t>FI can only be calculated in RCTs that allocate 1:1 randomization</w:t>
      </w:r>
    </w:p>
    <w:tbl>
      <w:tblPr>
        <w:tblpPr w:leftFromText="180" w:rightFromText="180" w:horzAnchor="margin" w:tblpXSpec="center" w:tblpY="396"/>
        <w:tblW w:w="13785" w:type="dxa"/>
        <w:tblLayout w:type="fixed"/>
        <w:tblLook w:val="04A0" w:firstRow="1" w:lastRow="0" w:firstColumn="1" w:lastColumn="0" w:noHBand="0" w:noVBand="1"/>
      </w:tblPr>
      <w:tblGrid>
        <w:gridCol w:w="1809"/>
        <w:gridCol w:w="1556"/>
        <w:gridCol w:w="1361"/>
        <w:gridCol w:w="2389"/>
        <w:gridCol w:w="1901"/>
        <w:gridCol w:w="1207"/>
        <w:gridCol w:w="1079"/>
        <w:gridCol w:w="1349"/>
        <w:gridCol w:w="1134"/>
      </w:tblGrid>
      <w:tr w:rsidR="0066445A" w14:paraId="2C9AF7CC" w14:textId="77777777" w:rsidTr="00706662">
        <w:trPr>
          <w:trHeight w:val="552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05F3D8" w14:textId="77777777" w:rsidR="0066445A" w:rsidRDefault="0066445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Author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68B063" w14:textId="77777777" w:rsidR="0066445A" w:rsidRDefault="0066445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Study name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4396D0" w14:textId="77777777" w:rsidR="0066445A" w:rsidRDefault="0066445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Clinical Trial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FD8307" w14:textId="77777777" w:rsidR="0066445A" w:rsidRDefault="0066445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Experimental Treatment vs. Control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9878BD" w14:textId="77777777" w:rsidR="0066445A" w:rsidRDefault="0066445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Endpoint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5CB24B" w14:textId="77777777" w:rsidR="0066445A" w:rsidRDefault="0066445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Experimental sample size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30B399" w14:textId="77777777" w:rsidR="0066445A" w:rsidRDefault="0066445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Experimental event number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66D1F1" w14:textId="77777777" w:rsidR="0066445A" w:rsidRDefault="0066445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Control sample size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90F0D5" w14:textId="77777777" w:rsidR="0066445A" w:rsidRDefault="0066445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Control event number</w:t>
            </w:r>
          </w:p>
        </w:tc>
      </w:tr>
      <w:tr w:rsidR="0066445A" w14:paraId="5C753414" w14:textId="77777777" w:rsidTr="00706662">
        <w:trPr>
          <w:trHeight w:val="552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210F6C" w14:textId="6BF3A289" w:rsidR="0066445A" w:rsidRDefault="0066445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Zhu AX et al</w:t>
            </w:r>
            <w:r w:rsidR="008606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[S</w:t>
            </w:r>
            <w:r w:rsidR="00706662" w:rsidRPr="008606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  <w:r w:rsidR="008606ED" w:rsidRPr="008606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]</w:t>
            </w:r>
            <w:r w:rsidRPr="008606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59728F" w14:textId="77777777" w:rsidR="0066445A" w:rsidRPr="00F80804" w:rsidRDefault="0066445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080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REACH-2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8CA700" w14:textId="77777777" w:rsidR="0066445A" w:rsidRPr="00F80804" w:rsidRDefault="0066445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080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NCT02435433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EF76AE" w14:textId="77777777" w:rsidR="0066445A" w:rsidRDefault="0066445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Ramucirumab vs. Placebo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A8B638" w14:textId="77777777" w:rsidR="0066445A" w:rsidRDefault="0066445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Primary 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endpioint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: Overall survival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636759" w14:textId="77777777" w:rsidR="0066445A" w:rsidRDefault="0066445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80957A" w14:textId="77777777" w:rsidR="0066445A" w:rsidRDefault="0066445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F3427B" w14:textId="77777777" w:rsidR="0066445A" w:rsidRDefault="0066445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4A6EBB" w14:textId="77777777" w:rsidR="0066445A" w:rsidRDefault="0066445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</w:t>
            </w:r>
          </w:p>
        </w:tc>
      </w:tr>
      <w:tr w:rsidR="0066445A" w14:paraId="66194C61" w14:textId="77777777" w:rsidTr="00706662">
        <w:trPr>
          <w:trHeight w:val="552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BDD1A" w14:textId="1557FF35" w:rsidR="0066445A" w:rsidRDefault="0066445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Abou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-Alfa GK et al</w:t>
            </w:r>
            <w:r w:rsidR="00706662" w:rsidRPr="008606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8606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[S2]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DEF42" w14:textId="77777777" w:rsidR="0066445A" w:rsidRPr="00F80804" w:rsidRDefault="0066445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080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CELESTIAL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09562" w14:textId="77777777" w:rsidR="0066445A" w:rsidRPr="00F80804" w:rsidRDefault="0066445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080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NCT01908426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FCBB6" w14:textId="77777777" w:rsidR="0066445A" w:rsidRDefault="0066445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Cabozantinib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vs. Placebo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6C960" w14:textId="77777777" w:rsidR="0066445A" w:rsidRDefault="0066445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Primary 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endpioint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: Overall survival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853ED" w14:textId="77777777" w:rsidR="0066445A" w:rsidRDefault="0066445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85BB9" w14:textId="77777777" w:rsidR="0066445A" w:rsidRDefault="0066445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317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3C3FE" w14:textId="77777777" w:rsidR="0066445A" w:rsidRDefault="0066445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2B487" w14:textId="77777777" w:rsidR="0066445A" w:rsidRDefault="0066445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167</w:t>
            </w:r>
          </w:p>
        </w:tc>
      </w:tr>
      <w:tr w:rsidR="0066445A" w14:paraId="1EB60063" w14:textId="77777777" w:rsidTr="00706662">
        <w:trPr>
          <w:trHeight w:val="552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72C65" w14:textId="27556A27" w:rsidR="0066445A" w:rsidRDefault="0066445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Bruix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J et al</w:t>
            </w:r>
            <w:r w:rsidR="00706662" w:rsidRPr="008606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8606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[S</w:t>
            </w:r>
            <w:r w:rsidR="008606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  <w:r w:rsidR="008606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]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EC92E" w14:textId="77777777" w:rsidR="0066445A" w:rsidRPr="00F80804" w:rsidRDefault="0066445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080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RESORCE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89CD0" w14:textId="77777777" w:rsidR="0066445A" w:rsidRPr="00F80804" w:rsidRDefault="0066445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080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NCT01774344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4ACC1" w14:textId="77777777" w:rsidR="0066445A" w:rsidRDefault="0066445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Regorafenib vs. Placebo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4561C" w14:textId="77777777" w:rsidR="0066445A" w:rsidRDefault="0066445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Primary 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endpioint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: Overall survival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83C86" w14:textId="77777777" w:rsidR="0066445A" w:rsidRDefault="0066445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6BE0B" w14:textId="77777777" w:rsidR="0066445A" w:rsidRDefault="0066445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56BE9" w14:textId="77777777" w:rsidR="0066445A" w:rsidRDefault="0066445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9A128" w14:textId="77777777" w:rsidR="0066445A" w:rsidRDefault="0066445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</w:t>
            </w:r>
          </w:p>
        </w:tc>
      </w:tr>
      <w:tr w:rsidR="0066445A" w14:paraId="5A8F930A" w14:textId="77777777" w:rsidTr="00706662">
        <w:trPr>
          <w:trHeight w:val="552"/>
        </w:trPr>
        <w:tc>
          <w:tcPr>
            <w:tcW w:w="18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D778F70" w14:textId="12D79A13" w:rsidR="0066445A" w:rsidRDefault="0066445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Llovet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JM et al</w:t>
            </w:r>
            <w:r w:rsidR="00706662" w:rsidRPr="008606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8606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[S</w:t>
            </w:r>
            <w:r w:rsidR="008606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  <w:r w:rsidR="008606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]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15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EC6B31F" w14:textId="77777777" w:rsidR="0066445A" w:rsidRPr="00F80804" w:rsidRDefault="0066445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080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BRISK-PS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7D29AC8" w14:textId="77777777" w:rsidR="0066445A" w:rsidRPr="00F80804" w:rsidRDefault="0066445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080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NCT00825955</w:t>
            </w:r>
          </w:p>
        </w:tc>
        <w:tc>
          <w:tcPr>
            <w:tcW w:w="23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588C180" w14:textId="77777777" w:rsidR="0066445A" w:rsidRDefault="0066445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Sorafenib plus 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Brivanib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vs. Sorafenib plus Placebo</w:t>
            </w:r>
          </w:p>
        </w:tc>
        <w:tc>
          <w:tcPr>
            <w:tcW w:w="19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A7412FC" w14:textId="77777777" w:rsidR="0066445A" w:rsidRDefault="0066445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Secondary outcome: Disease-control rate</w:t>
            </w: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2090BF6" w14:textId="77777777" w:rsidR="0066445A" w:rsidRDefault="0066445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263</w:t>
            </w:r>
          </w:p>
        </w:tc>
        <w:tc>
          <w:tcPr>
            <w:tcW w:w="10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01CC1F8" w14:textId="77777777" w:rsidR="0066445A" w:rsidRDefault="0066445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A4A2CA0" w14:textId="77777777" w:rsidR="0066445A" w:rsidRDefault="0066445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A9EAE66" w14:textId="77777777" w:rsidR="0066445A" w:rsidRDefault="0066445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</w:t>
            </w:r>
          </w:p>
        </w:tc>
      </w:tr>
      <w:tr w:rsidR="0066445A" w14:paraId="739CE4B3" w14:textId="77777777" w:rsidTr="00706662">
        <w:trPr>
          <w:trHeight w:val="552"/>
        </w:trPr>
        <w:tc>
          <w:tcPr>
            <w:tcW w:w="18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08CAA9" w14:textId="16B80206" w:rsidR="0066445A" w:rsidRDefault="0066445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Zhu AX et al</w:t>
            </w:r>
            <w:r w:rsidR="00706662" w:rsidRPr="008606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8606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[S</w:t>
            </w:r>
            <w:r w:rsidR="008606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  <w:r w:rsidR="008606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]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</w:t>
            </w:r>
          </w:p>
        </w:tc>
        <w:tc>
          <w:tcPr>
            <w:tcW w:w="15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53A20A" w14:textId="77777777" w:rsidR="0066445A" w:rsidRPr="00F80804" w:rsidRDefault="0066445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080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EVOLVE-1</w:t>
            </w:r>
          </w:p>
        </w:tc>
        <w:tc>
          <w:tcPr>
            <w:tcW w:w="13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7C4201" w14:textId="77777777" w:rsidR="0066445A" w:rsidRPr="00F80804" w:rsidRDefault="0066445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080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NCT01035229</w:t>
            </w:r>
          </w:p>
        </w:tc>
        <w:tc>
          <w:tcPr>
            <w:tcW w:w="23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FD218A" w14:textId="77777777" w:rsidR="0066445A" w:rsidRDefault="0066445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Sorafenib plus 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Everolimus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vs. sorafenib plus Placebo</w:t>
            </w:r>
          </w:p>
        </w:tc>
        <w:tc>
          <w:tcPr>
            <w:tcW w:w="19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FC8AAA" w14:textId="77777777" w:rsidR="0066445A" w:rsidRDefault="0066445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Secondary outcome: Disease-control rate</w:t>
            </w:r>
          </w:p>
        </w:tc>
        <w:tc>
          <w:tcPr>
            <w:tcW w:w="12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608C4D" w14:textId="77777777" w:rsidR="0066445A" w:rsidRDefault="0066445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362</w:t>
            </w:r>
          </w:p>
        </w:tc>
        <w:tc>
          <w:tcPr>
            <w:tcW w:w="10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F33937" w14:textId="77777777" w:rsidR="0066445A" w:rsidRDefault="0066445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3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E6EB9E" w14:textId="77777777" w:rsidR="0066445A" w:rsidRDefault="0066445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E9D0F6" w14:textId="77777777" w:rsidR="0066445A" w:rsidRDefault="0066445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</w:t>
            </w:r>
          </w:p>
        </w:tc>
      </w:tr>
    </w:tbl>
    <w:p w14:paraId="64FEAE0C" w14:textId="659E9846" w:rsidR="0047353C" w:rsidRDefault="000774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</w:t>
      </w:r>
      <w:r>
        <w:rPr>
          <w:rFonts w:ascii="Times New Roman" w:hAnsi="Times New Roman" w:cs="Times New Roman"/>
        </w:rPr>
        <w:t>ote: S means supplementary re</w:t>
      </w:r>
      <w:r w:rsidR="00E02168">
        <w:rPr>
          <w:rFonts w:ascii="Times New Roman" w:hAnsi="Times New Roman" w:cs="Times New Roman"/>
        </w:rPr>
        <w:t>ference</w:t>
      </w:r>
    </w:p>
    <w:p w14:paraId="02F8091A" w14:textId="0081E844" w:rsidR="0066445A" w:rsidRDefault="0066445A">
      <w:pPr>
        <w:rPr>
          <w:rFonts w:ascii="Times New Roman" w:hAnsi="Times New Roman" w:cs="Times New Roman"/>
        </w:rPr>
      </w:pPr>
    </w:p>
    <w:p w14:paraId="12B82691" w14:textId="3DAC3314" w:rsidR="0066445A" w:rsidRDefault="0066445A">
      <w:pPr>
        <w:rPr>
          <w:rFonts w:ascii="Times New Roman" w:hAnsi="Times New Roman" w:cs="Times New Roman"/>
        </w:rPr>
      </w:pPr>
    </w:p>
    <w:p w14:paraId="12306C01" w14:textId="66AC10F7" w:rsidR="0066445A" w:rsidRDefault="0066445A">
      <w:pPr>
        <w:rPr>
          <w:rFonts w:ascii="Times New Roman" w:hAnsi="Times New Roman" w:cs="Times New Roman"/>
        </w:rPr>
      </w:pPr>
    </w:p>
    <w:p w14:paraId="7213D32E" w14:textId="7D998AC9" w:rsidR="0066445A" w:rsidRDefault="0066445A">
      <w:pPr>
        <w:rPr>
          <w:rFonts w:ascii="Times New Roman" w:hAnsi="Times New Roman" w:cs="Times New Roman"/>
        </w:rPr>
      </w:pPr>
    </w:p>
    <w:p w14:paraId="066E43A0" w14:textId="4F24F551" w:rsidR="0066445A" w:rsidRDefault="0066445A">
      <w:pPr>
        <w:rPr>
          <w:rFonts w:ascii="Times New Roman" w:hAnsi="Times New Roman" w:cs="Times New Roman"/>
        </w:rPr>
      </w:pPr>
    </w:p>
    <w:p w14:paraId="57E3F400" w14:textId="5F147A17" w:rsidR="0066445A" w:rsidRDefault="0066445A">
      <w:pPr>
        <w:rPr>
          <w:rFonts w:ascii="Times New Roman" w:hAnsi="Times New Roman" w:cs="Times New Roman"/>
        </w:rPr>
      </w:pPr>
    </w:p>
    <w:p w14:paraId="2F9CB93F" w14:textId="2A7B6727" w:rsidR="0066445A" w:rsidRDefault="0066445A">
      <w:pPr>
        <w:rPr>
          <w:rFonts w:ascii="Times New Roman" w:hAnsi="Times New Roman" w:cs="Times New Roman"/>
        </w:rPr>
      </w:pPr>
    </w:p>
    <w:p w14:paraId="6E672672" w14:textId="77777777" w:rsidR="00077439" w:rsidRDefault="00077439">
      <w:pPr>
        <w:rPr>
          <w:rFonts w:ascii="Times New Roman" w:hAnsi="Times New Roman" w:cs="Times New Roman"/>
        </w:rPr>
        <w:sectPr w:rsidR="00077439" w:rsidSect="00147E00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14:paraId="337BEB48" w14:textId="365ED03B" w:rsidR="0066445A" w:rsidRDefault="006644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S</w:t>
      </w:r>
      <w:r>
        <w:rPr>
          <w:rFonts w:ascii="Times New Roman" w:hAnsi="Times New Roman" w:cs="Times New Roman"/>
        </w:rPr>
        <w:t>upplementary Reference</w:t>
      </w:r>
      <w:r w:rsidR="0007743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:</w:t>
      </w:r>
    </w:p>
    <w:p w14:paraId="65A90B2B" w14:textId="34A5D283" w:rsidR="00706662" w:rsidRDefault="00706662">
      <w:pPr>
        <w:rPr>
          <w:rFonts w:ascii="Times New Roman" w:hAnsi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</w:rPr>
        <w:t xml:space="preserve">S1: </w:t>
      </w:r>
      <w:bookmarkStart w:id="0" w:name="_neb3F7C9476_7B4E_440D_A81E_6C78D241489F"/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Zhu AX, Kang YK, Yen CJ, et al. Ramucirumab after sorafenib in patients with advanced hepatocellular carcinoma and increased alpha-fetoprotein concentrations (REACH-2): a </w:t>
      </w:r>
      <w:proofErr w:type="spellStart"/>
      <w:r>
        <w:rPr>
          <w:rFonts w:ascii="Times New Roman" w:hAnsi="Times New Roman"/>
          <w:color w:val="000000"/>
          <w:kern w:val="0"/>
          <w:sz w:val="20"/>
          <w:szCs w:val="20"/>
        </w:rPr>
        <w:t>randomised</w:t>
      </w:r>
      <w:proofErr w:type="spellEnd"/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, double-blind, placebo-controlled, phase 3 trial. Lancet Oncol </w:t>
      </w:r>
      <w:proofErr w:type="gramStart"/>
      <w:r>
        <w:rPr>
          <w:rFonts w:ascii="Times New Roman" w:hAnsi="Times New Roman"/>
          <w:color w:val="000000"/>
          <w:kern w:val="0"/>
          <w:sz w:val="20"/>
          <w:szCs w:val="20"/>
        </w:rPr>
        <w:t>2019;20:282</w:t>
      </w:r>
      <w:proofErr w:type="gramEnd"/>
      <w:r>
        <w:rPr>
          <w:rFonts w:ascii="Times New Roman" w:hAnsi="Times New Roman"/>
          <w:color w:val="000000"/>
          <w:kern w:val="0"/>
          <w:sz w:val="20"/>
          <w:szCs w:val="20"/>
        </w:rPr>
        <w:t>-296.</w:t>
      </w:r>
      <w:bookmarkEnd w:id="0"/>
    </w:p>
    <w:p w14:paraId="5889C2BB" w14:textId="4F606793" w:rsidR="00706662" w:rsidRDefault="00706662" w:rsidP="00706662">
      <w:pPr>
        <w:rPr>
          <w:rFonts w:ascii="Times New Roman" w:hAnsi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hint="eastAsia"/>
          <w:color w:val="000000"/>
          <w:kern w:val="0"/>
          <w:sz w:val="20"/>
          <w:szCs w:val="20"/>
        </w:rPr>
        <w:t>S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2: </w:t>
      </w:r>
      <w:proofErr w:type="spellStart"/>
      <w:r w:rsidRPr="00706662">
        <w:rPr>
          <w:rFonts w:ascii="Times New Roman" w:hAnsi="Times New Roman"/>
          <w:color w:val="000000"/>
          <w:kern w:val="0"/>
          <w:sz w:val="20"/>
          <w:szCs w:val="20"/>
        </w:rPr>
        <w:t>Abou</w:t>
      </w:r>
      <w:proofErr w:type="spellEnd"/>
      <w:r w:rsidRPr="00706662">
        <w:rPr>
          <w:rFonts w:ascii="Times New Roman" w:hAnsi="Times New Roman"/>
          <w:color w:val="000000"/>
          <w:kern w:val="0"/>
          <w:sz w:val="20"/>
          <w:szCs w:val="20"/>
        </w:rPr>
        <w:t>-Alfa GK, Meyer T, Cheng A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, et al. </w:t>
      </w:r>
      <w:proofErr w:type="spellStart"/>
      <w:r w:rsidRPr="00706662">
        <w:rPr>
          <w:rFonts w:ascii="Times New Roman" w:hAnsi="Times New Roman"/>
          <w:color w:val="000000"/>
          <w:kern w:val="0"/>
          <w:sz w:val="20"/>
          <w:szCs w:val="20"/>
        </w:rPr>
        <w:t>Cabozantinib</w:t>
      </w:r>
      <w:proofErr w:type="spellEnd"/>
      <w:r w:rsidRPr="00706662">
        <w:rPr>
          <w:rFonts w:ascii="Times New Roman" w:hAnsi="Times New Roman"/>
          <w:color w:val="000000"/>
          <w:kern w:val="0"/>
          <w:sz w:val="20"/>
          <w:szCs w:val="20"/>
        </w:rPr>
        <w:t xml:space="preserve"> in Patients with Advanced and Progressing Hepatocellular Carcinoma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. </w:t>
      </w:r>
      <w:r w:rsidRPr="00706662">
        <w:rPr>
          <w:rFonts w:ascii="Times New Roman" w:hAnsi="Times New Roman"/>
          <w:color w:val="000000"/>
          <w:kern w:val="0"/>
          <w:sz w:val="20"/>
          <w:szCs w:val="20"/>
        </w:rPr>
        <w:t xml:space="preserve">N </w:t>
      </w:r>
      <w:proofErr w:type="spellStart"/>
      <w:r w:rsidRPr="00706662">
        <w:rPr>
          <w:rFonts w:ascii="Times New Roman" w:hAnsi="Times New Roman"/>
          <w:color w:val="000000"/>
          <w:kern w:val="0"/>
          <w:sz w:val="20"/>
          <w:szCs w:val="20"/>
        </w:rPr>
        <w:t>Engl</w:t>
      </w:r>
      <w:proofErr w:type="spellEnd"/>
      <w:r w:rsidRPr="00706662">
        <w:rPr>
          <w:rFonts w:ascii="Times New Roman" w:hAnsi="Times New Roman"/>
          <w:color w:val="000000"/>
          <w:kern w:val="0"/>
          <w:sz w:val="20"/>
          <w:szCs w:val="20"/>
        </w:rPr>
        <w:t xml:space="preserve"> J Med. 2018;379(1):54-63.</w:t>
      </w:r>
    </w:p>
    <w:p w14:paraId="40725382" w14:textId="5257BF6D" w:rsidR="00706662" w:rsidRDefault="00706662" w:rsidP="00077439">
      <w:pPr>
        <w:rPr>
          <w:rFonts w:ascii="Times New Roman" w:hAnsi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hint="eastAsia"/>
          <w:color w:val="000000"/>
          <w:kern w:val="0"/>
          <w:sz w:val="20"/>
          <w:szCs w:val="20"/>
        </w:rPr>
        <w:t>S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3: </w:t>
      </w:r>
      <w:proofErr w:type="spellStart"/>
      <w:r w:rsidR="00077439">
        <w:rPr>
          <w:rFonts w:ascii="Times New Roman" w:hAnsi="Times New Roman"/>
          <w:color w:val="000000"/>
          <w:kern w:val="0"/>
          <w:sz w:val="20"/>
          <w:szCs w:val="20"/>
        </w:rPr>
        <w:t>Bruix</w:t>
      </w:r>
      <w:proofErr w:type="spellEnd"/>
      <w:r w:rsidR="00077439">
        <w:rPr>
          <w:rFonts w:ascii="Times New Roman" w:hAnsi="Times New Roman"/>
          <w:color w:val="000000"/>
          <w:kern w:val="0"/>
          <w:sz w:val="20"/>
          <w:szCs w:val="20"/>
        </w:rPr>
        <w:t xml:space="preserve"> J, Qin S, Merle P, et al. Regorafenib for patients with hepatocellular carcinoma who progressed on sorafenib treatment (RESORCE): a </w:t>
      </w:r>
      <w:proofErr w:type="spellStart"/>
      <w:r w:rsidR="00077439">
        <w:rPr>
          <w:rFonts w:ascii="Times New Roman" w:hAnsi="Times New Roman"/>
          <w:color w:val="000000"/>
          <w:kern w:val="0"/>
          <w:sz w:val="20"/>
          <w:szCs w:val="20"/>
        </w:rPr>
        <w:t>randomised</w:t>
      </w:r>
      <w:proofErr w:type="spellEnd"/>
      <w:r w:rsidR="00077439">
        <w:rPr>
          <w:rFonts w:ascii="Times New Roman" w:hAnsi="Times New Roman"/>
          <w:color w:val="000000"/>
          <w:kern w:val="0"/>
          <w:sz w:val="20"/>
          <w:szCs w:val="20"/>
        </w:rPr>
        <w:t xml:space="preserve">, double-blind, placebo-controlled, phase 3 trial. Lancet </w:t>
      </w:r>
      <w:proofErr w:type="gramStart"/>
      <w:r w:rsidR="00077439">
        <w:rPr>
          <w:rFonts w:ascii="Times New Roman" w:hAnsi="Times New Roman"/>
          <w:color w:val="000000"/>
          <w:kern w:val="0"/>
          <w:sz w:val="20"/>
          <w:szCs w:val="20"/>
        </w:rPr>
        <w:t>2017;389:56</w:t>
      </w:r>
      <w:proofErr w:type="gramEnd"/>
      <w:r w:rsidR="00077439">
        <w:rPr>
          <w:rFonts w:ascii="Times New Roman" w:hAnsi="Times New Roman"/>
          <w:color w:val="000000"/>
          <w:kern w:val="0"/>
          <w:sz w:val="20"/>
          <w:szCs w:val="20"/>
        </w:rPr>
        <w:t>-66.</w:t>
      </w:r>
    </w:p>
    <w:p w14:paraId="40316CA0" w14:textId="77777777" w:rsidR="00077439" w:rsidRDefault="00077439" w:rsidP="00077439">
      <w:pPr>
        <w:rPr>
          <w:rFonts w:ascii="Times New Roman" w:hAnsi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hint="eastAsia"/>
          <w:color w:val="000000"/>
          <w:kern w:val="0"/>
          <w:sz w:val="20"/>
          <w:szCs w:val="20"/>
        </w:rPr>
        <w:t>S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4: </w:t>
      </w:r>
      <w:bookmarkStart w:id="1" w:name="_nebFE9B515F_9A4E_4BF1_937C_BDF06C0D2201"/>
      <w:proofErr w:type="spellStart"/>
      <w:r>
        <w:rPr>
          <w:rFonts w:ascii="Times New Roman" w:hAnsi="Times New Roman"/>
          <w:color w:val="000000"/>
          <w:kern w:val="0"/>
          <w:sz w:val="20"/>
          <w:szCs w:val="20"/>
        </w:rPr>
        <w:t>Llovet</w:t>
      </w:r>
      <w:proofErr w:type="spellEnd"/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 JM, </w:t>
      </w:r>
      <w:proofErr w:type="spellStart"/>
      <w:r>
        <w:rPr>
          <w:rFonts w:ascii="Times New Roman" w:hAnsi="Times New Roman"/>
          <w:color w:val="000000"/>
          <w:kern w:val="0"/>
          <w:sz w:val="20"/>
          <w:szCs w:val="20"/>
        </w:rPr>
        <w:t>Decaens</w:t>
      </w:r>
      <w:proofErr w:type="spellEnd"/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 T, Raoul JL, et al. </w:t>
      </w:r>
      <w:proofErr w:type="spellStart"/>
      <w:r>
        <w:rPr>
          <w:rFonts w:ascii="Times New Roman" w:hAnsi="Times New Roman"/>
          <w:color w:val="000000"/>
          <w:kern w:val="0"/>
          <w:sz w:val="20"/>
          <w:szCs w:val="20"/>
        </w:rPr>
        <w:t>Brivanib</w:t>
      </w:r>
      <w:proofErr w:type="spellEnd"/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 in patients with advanced hepatocellular carcinoma who were intolerant to sorafenib or for whom sorafenib failed: results from the randomized phase III BRISK-PS study. J Clin Oncol </w:t>
      </w:r>
      <w:proofErr w:type="gramStart"/>
      <w:r>
        <w:rPr>
          <w:rFonts w:ascii="Times New Roman" w:hAnsi="Times New Roman"/>
          <w:color w:val="000000"/>
          <w:kern w:val="0"/>
          <w:sz w:val="20"/>
          <w:szCs w:val="20"/>
        </w:rPr>
        <w:t>2013;31:3509</w:t>
      </w:r>
      <w:proofErr w:type="gramEnd"/>
      <w:r>
        <w:rPr>
          <w:rFonts w:ascii="Times New Roman" w:hAnsi="Times New Roman"/>
          <w:color w:val="000000"/>
          <w:kern w:val="0"/>
          <w:sz w:val="20"/>
          <w:szCs w:val="20"/>
        </w:rPr>
        <w:t>-3516.</w:t>
      </w:r>
      <w:bookmarkEnd w:id="1"/>
    </w:p>
    <w:p w14:paraId="4C14E8E4" w14:textId="0436631B" w:rsidR="00077439" w:rsidRPr="00077439" w:rsidRDefault="00077439" w:rsidP="00077439">
      <w:pPr>
        <w:rPr>
          <w:rFonts w:ascii="Times New Roman" w:hAnsi="Times New Roman" w:cs="Times New Roman"/>
        </w:rPr>
      </w:pPr>
      <w:r>
        <w:rPr>
          <w:rFonts w:ascii="Times New Roman" w:hAnsi="Times New Roman" w:hint="eastAsia"/>
          <w:color w:val="000000"/>
          <w:kern w:val="0"/>
          <w:sz w:val="20"/>
          <w:szCs w:val="20"/>
        </w:rPr>
        <w:t>S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5: </w:t>
      </w:r>
      <w:bookmarkStart w:id="2" w:name="_neb0A2835BE_136B_4F83_B589_1D0A7CCE8CAD"/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Zhu AX, Kudo M, </w:t>
      </w:r>
      <w:proofErr w:type="spellStart"/>
      <w:r>
        <w:rPr>
          <w:rFonts w:ascii="Times New Roman" w:hAnsi="Times New Roman"/>
          <w:color w:val="000000"/>
          <w:kern w:val="0"/>
          <w:sz w:val="20"/>
          <w:szCs w:val="20"/>
        </w:rPr>
        <w:t>Assenat</w:t>
      </w:r>
      <w:proofErr w:type="spellEnd"/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 E, et al. Effect of </w:t>
      </w:r>
      <w:proofErr w:type="spellStart"/>
      <w:r>
        <w:rPr>
          <w:rFonts w:ascii="Times New Roman" w:hAnsi="Times New Roman"/>
          <w:color w:val="000000"/>
          <w:kern w:val="0"/>
          <w:sz w:val="20"/>
          <w:szCs w:val="20"/>
        </w:rPr>
        <w:t>everolimus</w:t>
      </w:r>
      <w:proofErr w:type="spellEnd"/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 on survival in advanced hepatocellular carcinoma after failure of sorafenib: the EVOLVE-1 randomized clinical trial. JAMA </w:t>
      </w:r>
      <w:proofErr w:type="gramStart"/>
      <w:r>
        <w:rPr>
          <w:rFonts w:ascii="Times New Roman" w:hAnsi="Times New Roman"/>
          <w:color w:val="000000"/>
          <w:kern w:val="0"/>
          <w:sz w:val="20"/>
          <w:szCs w:val="20"/>
        </w:rPr>
        <w:t>2014;312:57</w:t>
      </w:r>
      <w:proofErr w:type="gramEnd"/>
      <w:r>
        <w:rPr>
          <w:rFonts w:ascii="Times New Roman" w:hAnsi="Times New Roman"/>
          <w:color w:val="000000"/>
          <w:kern w:val="0"/>
          <w:sz w:val="20"/>
          <w:szCs w:val="20"/>
        </w:rPr>
        <w:t>-67.</w:t>
      </w:r>
      <w:bookmarkEnd w:id="2"/>
    </w:p>
    <w:sectPr w:rsidR="00077439" w:rsidRPr="00077439" w:rsidSect="00077439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A355E" w14:textId="77777777" w:rsidR="00A578B7" w:rsidRDefault="00A578B7" w:rsidP="00D059F6">
      <w:r>
        <w:separator/>
      </w:r>
    </w:p>
  </w:endnote>
  <w:endnote w:type="continuationSeparator" w:id="0">
    <w:p w14:paraId="58D886AF" w14:textId="77777777" w:rsidR="00A578B7" w:rsidRDefault="00A578B7" w:rsidP="00D0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F42CA" w14:textId="77777777" w:rsidR="00A578B7" w:rsidRDefault="00A578B7" w:rsidP="00D059F6">
      <w:r>
        <w:separator/>
      </w:r>
    </w:p>
  </w:footnote>
  <w:footnote w:type="continuationSeparator" w:id="0">
    <w:p w14:paraId="7141F923" w14:textId="77777777" w:rsidR="00A578B7" w:rsidRDefault="00A578B7" w:rsidP="00D05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8B8"/>
    <w:rsid w:val="00051A1A"/>
    <w:rsid w:val="00060453"/>
    <w:rsid w:val="00077439"/>
    <w:rsid w:val="0008742B"/>
    <w:rsid w:val="0009692F"/>
    <w:rsid w:val="00147E00"/>
    <w:rsid w:val="002D5B94"/>
    <w:rsid w:val="003D6064"/>
    <w:rsid w:val="004546F6"/>
    <w:rsid w:val="0047353C"/>
    <w:rsid w:val="00567674"/>
    <w:rsid w:val="005A28B8"/>
    <w:rsid w:val="005E4401"/>
    <w:rsid w:val="0066445A"/>
    <w:rsid w:val="00706662"/>
    <w:rsid w:val="00712876"/>
    <w:rsid w:val="0083792A"/>
    <w:rsid w:val="0084537C"/>
    <w:rsid w:val="008606ED"/>
    <w:rsid w:val="009B454E"/>
    <w:rsid w:val="00A578B7"/>
    <w:rsid w:val="00D059F6"/>
    <w:rsid w:val="00D55B91"/>
    <w:rsid w:val="00D66253"/>
    <w:rsid w:val="00DD31A7"/>
    <w:rsid w:val="00E02168"/>
    <w:rsid w:val="00E304F9"/>
    <w:rsid w:val="00F80804"/>
    <w:rsid w:val="00F81163"/>
    <w:rsid w:val="2D470BA5"/>
    <w:rsid w:val="3EA564CB"/>
    <w:rsid w:val="61341A84"/>
    <w:rsid w:val="67234AF2"/>
    <w:rsid w:val="74F4670B"/>
    <w:rsid w:val="77E52D29"/>
    <w:rsid w:val="7E776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AB68F"/>
  <w15:docId w15:val="{B05CF8BA-812D-4B4C-B493-96ABDF17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0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147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147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147E00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147E0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8116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8116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8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3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Hao</dc:creator>
  <cp:lastModifiedBy>Zhang Hao</cp:lastModifiedBy>
  <cp:revision>12</cp:revision>
  <dcterms:created xsi:type="dcterms:W3CDTF">2019-07-23T21:45:00Z</dcterms:created>
  <dcterms:modified xsi:type="dcterms:W3CDTF">2020-08-14T07:56:00Z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