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1D08" w14:textId="70F90A17" w:rsidR="003269CB" w:rsidRDefault="003269CB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1D9AACC" wp14:editId="010A5F83">
            <wp:extent cx="8644890" cy="281686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9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EB194" w14:textId="6BBA5858" w:rsidR="003269CB" w:rsidRPr="003269CB" w:rsidRDefault="003269CB" w:rsidP="003269CB">
      <w:pPr>
        <w:widowControl/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S1.</w:t>
      </w:r>
      <w:r w:rsidRPr="003269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2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control metrics including the DNA yield expressed in </w:t>
      </w:r>
      <w:proofErr w:type="spellStart"/>
      <w:r w:rsidRPr="003269CB">
        <w:rPr>
          <w:rFonts w:ascii="Times New Roman" w:hAnsi="Times New Roman" w:cs="Times New Roman"/>
          <w:color w:val="000000" w:themeColor="text1"/>
          <w:sz w:val="24"/>
          <w:szCs w:val="24"/>
        </w:rPr>
        <w:t>nanograms</w:t>
      </w:r>
      <w:proofErr w:type="spellEnd"/>
      <w:r w:rsidRPr="0032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(A), the correlation between library </w:t>
      </w:r>
      <w:proofErr w:type="gramStart"/>
      <w:r w:rsidRPr="003269CB">
        <w:rPr>
          <w:rFonts w:ascii="Times New Roman" w:hAnsi="Times New Roman" w:cs="Times New Roman"/>
          <w:color w:val="000000" w:themeColor="text1"/>
          <w:sz w:val="24"/>
          <w:szCs w:val="24"/>
        </w:rPr>
        <w:t>complexity</w:t>
      </w:r>
      <w:proofErr w:type="gramEnd"/>
      <w:r w:rsidRPr="0032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insert size of the fragments (in base pairs) for sequencing (B), and the median sequencing depth (C) of all the samples analyzed in the study.</w:t>
      </w:r>
      <w:bookmarkStart w:id="0" w:name="_GoBack"/>
      <w:bookmarkEnd w:id="0"/>
    </w:p>
    <w:p w14:paraId="630FF071" w14:textId="77777777" w:rsidR="00180EFF" w:rsidRDefault="00180EFF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43379F6" w14:textId="77777777" w:rsidR="00D3590F" w:rsidRDefault="00D3590F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555E20" w14:textId="405C68F6" w:rsidR="00180EFF" w:rsidRDefault="00D3590F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9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415BF79" wp14:editId="015F6B3E">
            <wp:extent cx="2520000" cy="252401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B80047" w14:textId="6A34032D" w:rsidR="00D3590F" w:rsidRPr="00D3590F" w:rsidRDefault="00D3590F">
      <w:pPr>
        <w:widowControl/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9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S2. </w:t>
      </w:r>
      <w:r w:rsidRPr="00D3590F">
        <w:rPr>
          <w:rFonts w:ascii="Times New Roman" w:hAnsi="Times New Roman" w:cs="Times New Roman"/>
          <w:color w:val="000000" w:themeColor="text1"/>
          <w:sz w:val="24"/>
          <w:szCs w:val="24"/>
        </w:rPr>
        <w:t>Smokers had significantly higher allelic fraction of sputum supernatant. Box plot illustrating the distribution of allelic frequencies in sputum supernatant (SPU) from smokers and never-smokers.</w:t>
      </w:r>
    </w:p>
    <w:p w14:paraId="45911734" w14:textId="77777777" w:rsidR="00D3590F" w:rsidRDefault="00D3590F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15BED58" w14:textId="39A9E3B3" w:rsidR="007637A4" w:rsidRPr="005A56EB" w:rsidRDefault="007637A4" w:rsidP="007637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S1.</w:t>
      </w:r>
      <w:r w:rsidRPr="005A5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 of samples according to available sample type</w:t>
      </w:r>
    </w:p>
    <w:tbl>
      <w:tblPr>
        <w:tblStyle w:val="a3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1560"/>
        <w:gridCol w:w="1842"/>
      </w:tblGrid>
      <w:tr w:rsidR="007637A4" w:rsidRPr="005A56EB" w14:paraId="15E685E6" w14:textId="77777777" w:rsidTr="002D1C73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5EAD16D1" w14:textId="77777777" w:rsidR="007637A4" w:rsidRPr="005A56EB" w:rsidRDefault="007637A4" w:rsidP="0055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Availability of samples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14590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Sample type</w:t>
            </w:r>
          </w:p>
        </w:tc>
      </w:tr>
      <w:tr w:rsidR="007637A4" w:rsidRPr="005A56EB" w14:paraId="7F33B0F4" w14:textId="77777777" w:rsidTr="002D1C73">
        <w:tc>
          <w:tcPr>
            <w:tcW w:w="3794" w:type="dxa"/>
            <w:vMerge/>
            <w:tcBorders>
              <w:bottom w:val="single" w:sz="4" w:space="0" w:color="auto"/>
            </w:tcBorders>
          </w:tcPr>
          <w:p w14:paraId="47AB8133" w14:textId="77777777" w:rsidR="007637A4" w:rsidRPr="005A56EB" w:rsidRDefault="007637A4" w:rsidP="0055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867A8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T</w:t>
            </w:r>
            <w:r w:rsidRPr="005A56EB">
              <w:rPr>
                <w:bCs/>
                <w:color w:val="000000" w:themeColor="text1"/>
                <w:kern w:val="24"/>
              </w:rPr>
              <w:t>issue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D619D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B</w:t>
            </w:r>
            <w:r w:rsidRPr="005A56EB">
              <w:rPr>
                <w:bCs/>
                <w:color w:val="000000" w:themeColor="text1"/>
                <w:kern w:val="24"/>
              </w:rPr>
              <w:t>lood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9685C0" w14:textId="7EE26168" w:rsidR="007637A4" w:rsidRPr="005A56EB" w:rsidRDefault="007637A4" w:rsidP="002D1C73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Sputum-sup</w:t>
            </w: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ernat</w:t>
            </w:r>
            <w:r w:rsidR="002D1C73" w:rsidRPr="005A56EB">
              <w:rPr>
                <w:rFonts w:eastAsiaTheme="minorEastAsia"/>
                <w:bCs/>
                <w:color w:val="000000" w:themeColor="text1"/>
                <w:kern w:val="24"/>
              </w:rPr>
              <w:t>ant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95D5B1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Sputum-</w:t>
            </w: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sediment</w:t>
            </w:r>
          </w:p>
        </w:tc>
      </w:tr>
      <w:tr w:rsidR="007637A4" w:rsidRPr="005A56EB" w14:paraId="638E0256" w14:textId="77777777" w:rsidTr="002D1C73">
        <w:tc>
          <w:tcPr>
            <w:tcW w:w="3794" w:type="dxa"/>
            <w:tcBorders>
              <w:top w:val="single" w:sz="4" w:space="0" w:color="auto"/>
            </w:tcBorders>
          </w:tcPr>
          <w:p w14:paraId="7D186FAE" w14:textId="77777777" w:rsidR="007637A4" w:rsidRPr="005A56EB" w:rsidRDefault="007637A4" w:rsidP="0055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available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816DE8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623552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7A4750A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2AC9D6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19</w:t>
            </w:r>
          </w:p>
        </w:tc>
      </w:tr>
      <w:tr w:rsidR="007637A4" w:rsidRPr="005A56EB" w14:paraId="63C789DD" w14:textId="77777777" w:rsidTr="002D1C73">
        <w:tc>
          <w:tcPr>
            <w:tcW w:w="3794" w:type="dxa"/>
          </w:tcPr>
          <w:p w14:paraId="59FC9726" w14:textId="77777777" w:rsidR="007637A4" w:rsidRPr="005A56EB" w:rsidRDefault="007637A4" w:rsidP="0055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sputum sediment</w:t>
            </w:r>
          </w:p>
        </w:tc>
        <w:tc>
          <w:tcPr>
            <w:tcW w:w="1701" w:type="dxa"/>
          </w:tcPr>
          <w:p w14:paraId="4A3F7AF3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417" w:type="dxa"/>
          </w:tcPr>
          <w:p w14:paraId="005C9692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560" w:type="dxa"/>
          </w:tcPr>
          <w:p w14:paraId="7B090DCB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842" w:type="dxa"/>
          </w:tcPr>
          <w:p w14:paraId="25630BC7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0</w:t>
            </w:r>
          </w:p>
        </w:tc>
      </w:tr>
      <w:tr w:rsidR="007637A4" w:rsidRPr="005A56EB" w14:paraId="31576A31" w14:textId="77777777" w:rsidTr="002D1C73">
        <w:tc>
          <w:tcPr>
            <w:tcW w:w="3794" w:type="dxa"/>
          </w:tcPr>
          <w:p w14:paraId="7900C271" w14:textId="5CFAF0E8" w:rsidR="007637A4" w:rsidRPr="005A56EB" w:rsidRDefault="007637A4" w:rsidP="002D1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sputum supernat</w:t>
            </w:r>
            <w:r w:rsidR="002D1C73"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1701" w:type="dxa"/>
          </w:tcPr>
          <w:p w14:paraId="2D305D1E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417" w:type="dxa"/>
          </w:tcPr>
          <w:p w14:paraId="33710950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560" w:type="dxa"/>
          </w:tcPr>
          <w:p w14:paraId="127F0B7F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842" w:type="dxa"/>
          </w:tcPr>
          <w:p w14:paraId="2EE8BAEA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11</w:t>
            </w:r>
          </w:p>
        </w:tc>
      </w:tr>
      <w:tr w:rsidR="007637A4" w:rsidRPr="005A56EB" w14:paraId="0C71EC41" w14:textId="77777777" w:rsidTr="002D1C73">
        <w:tc>
          <w:tcPr>
            <w:tcW w:w="3794" w:type="dxa"/>
          </w:tcPr>
          <w:p w14:paraId="0191A2B6" w14:textId="77777777" w:rsidR="007637A4" w:rsidRPr="005A56EB" w:rsidRDefault="007637A4" w:rsidP="0055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blood </w:t>
            </w:r>
          </w:p>
        </w:tc>
        <w:tc>
          <w:tcPr>
            <w:tcW w:w="1701" w:type="dxa"/>
          </w:tcPr>
          <w:p w14:paraId="4B1BC97A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417" w:type="dxa"/>
          </w:tcPr>
          <w:p w14:paraId="040D315B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560" w:type="dxa"/>
          </w:tcPr>
          <w:p w14:paraId="092B1B72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842" w:type="dxa"/>
          </w:tcPr>
          <w:p w14:paraId="55C89E68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</w:t>
            </w:r>
          </w:p>
        </w:tc>
      </w:tr>
      <w:tr w:rsidR="007637A4" w:rsidRPr="005A56EB" w14:paraId="429AA34A" w14:textId="77777777" w:rsidTr="002D1C73">
        <w:tc>
          <w:tcPr>
            <w:tcW w:w="3794" w:type="dxa"/>
          </w:tcPr>
          <w:p w14:paraId="09811F61" w14:textId="4FB4ABA0" w:rsidR="007637A4" w:rsidRPr="005A56EB" w:rsidRDefault="007637A4" w:rsidP="002D1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blood and sputum supernat</w:t>
            </w:r>
            <w:r w:rsidR="002D1C73"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1701" w:type="dxa"/>
          </w:tcPr>
          <w:p w14:paraId="399D94B2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417" w:type="dxa"/>
          </w:tcPr>
          <w:p w14:paraId="6D5E3CF0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560" w:type="dxa"/>
          </w:tcPr>
          <w:p w14:paraId="5354BFF1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842" w:type="dxa"/>
          </w:tcPr>
          <w:p w14:paraId="75546B05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color w:val="000000" w:themeColor="text1"/>
                <w:kern w:val="24"/>
              </w:rPr>
              <w:t>1</w:t>
            </w:r>
          </w:p>
        </w:tc>
      </w:tr>
      <w:tr w:rsidR="007637A4" w:rsidRPr="005A56EB" w14:paraId="4F58688A" w14:textId="77777777" w:rsidTr="002D1C73">
        <w:tc>
          <w:tcPr>
            <w:tcW w:w="3794" w:type="dxa"/>
          </w:tcPr>
          <w:p w14:paraId="41772D1E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5A56EB">
              <w:rPr>
                <w:rFonts w:eastAsiaTheme="minorEastAsia"/>
                <w:color w:val="000000" w:themeColor="text1"/>
              </w:rPr>
              <w:t>No tissue</w:t>
            </w:r>
          </w:p>
        </w:tc>
        <w:tc>
          <w:tcPr>
            <w:tcW w:w="1701" w:type="dxa"/>
          </w:tcPr>
          <w:p w14:paraId="140AAC92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14:paraId="788B1A41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14:paraId="0B7B18D1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14:paraId="0C73BE4E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</w:rPr>
            </w:pPr>
            <w:r w:rsidRPr="005A56EB">
              <w:rPr>
                <w:rFonts w:eastAsiaTheme="minorEastAsia"/>
                <w:color w:val="000000" w:themeColor="text1"/>
              </w:rPr>
              <w:t>3</w:t>
            </w:r>
          </w:p>
        </w:tc>
      </w:tr>
      <w:tr w:rsidR="007637A4" w:rsidRPr="005A56EB" w14:paraId="4E1D9AEF" w14:textId="77777777" w:rsidTr="002D1C73">
        <w:tc>
          <w:tcPr>
            <w:tcW w:w="3794" w:type="dxa"/>
          </w:tcPr>
          <w:p w14:paraId="0DAF4470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A56EB">
              <w:rPr>
                <w:rFonts w:eastAsiaTheme="minorEastAsia"/>
                <w:bCs/>
                <w:color w:val="000000" w:themeColor="text1"/>
                <w:kern w:val="24"/>
              </w:rPr>
              <w:t>T</w:t>
            </w:r>
            <w:r w:rsidRPr="005A56EB">
              <w:rPr>
                <w:bCs/>
                <w:color w:val="000000" w:themeColor="text1"/>
                <w:kern w:val="24"/>
              </w:rPr>
              <w:t>otal</w:t>
            </w:r>
          </w:p>
        </w:tc>
        <w:tc>
          <w:tcPr>
            <w:tcW w:w="1701" w:type="dxa"/>
          </w:tcPr>
          <w:p w14:paraId="17E1290C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38</w:t>
            </w:r>
          </w:p>
        </w:tc>
        <w:tc>
          <w:tcPr>
            <w:tcW w:w="1417" w:type="dxa"/>
          </w:tcPr>
          <w:p w14:paraId="33F07937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39</w:t>
            </w:r>
          </w:p>
        </w:tc>
        <w:tc>
          <w:tcPr>
            <w:tcW w:w="1560" w:type="dxa"/>
          </w:tcPr>
          <w:p w14:paraId="2B67143D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1842" w:type="dxa"/>
          </w:tcPr>
          <w:p w14:paraId="2C803929" w14:textId="77777777" w:rsidR="007637A4" w:rsidRPr="005A56EB" w:rsidRDefault="007637A4" w:rsidP="00555A9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A56EB">
              <w:rPr>
                <w:bCs/>
                <w:color w:val="000000" w:themeColor="text1"/>
                <w:kern w:val="24"/>
              </w:rPr>
              <w:t>35</w:t>
            </w:r>
          </w:p>
        </w:tc>
      </w:tr>
    </w:tbl>
    <w:p w14:paraId="60CD8FC6" w14:textId="77777777" w:rsidR="007637A4" w:rsidRPr="005A56EB" w:rsidRDefault="007637A4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56E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118DAC" w14:textId="799A462B" w:rsidR="001701A8" w:rsidRPr="005A56EB" w:rsidRDefault="001701A8" w:rsidP="001701A8">
      <w:pPr>
        <w:rPr>
          <w:rFonts w:ascii="Times New Roman" w:hAnsi="Times New Roman" w:cs="Times New Roman"/>
          <w:b/>
          <w:sz w:val="24"/>
          <w:szCs w:val="24"/>
        </w:rPr>
      </w:pPr>
      <w:r w:rsidRPr="005A56EB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637A4" w:rsidRPr="005A56EB">
        <w:rPr>
          <w:rFonts w:ascii="Times New Roman" w:hAnsi="Times New Roman" w:cs="Times New Roman"/>
          <w:b/>
          <w:sz w:val="24"/>
          <w:szCs w:val="24"/>
        </w:rPr>
        <w:t>2</w:t>
      </w:r>
      <w:r w:rsidRPr="005A5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3774" w:rsidRPr="005A56EB">
        <w:rPr>
          <w:rFonts w:ascii="Times New Roman" w:hAnsi="Times New Roman" w:cs="Times New Roman"/>
          <w:sz w:val="24"/>
          <w:szCs w:val="24"/>
        </w:rPr>
        <w:t>By variant c</w:t>
      </w:r>
      <w:r w:rsidRPr="005A56EB">
        <w:rPr>
          <w:rFonts w:ascii="Times New Roman" w:hAnsi="Times New Roman" w:cs="Times New Roman"/>
          <w:sz w:val="24"/>
          <w:szCs w:val="24"/>
        </w:rPr>
        <w:t xml:space="preserve">omparison between the mutations detected from </w:t>
      </w:r>
      <w:r w:rsidR="00163ACB" w:rsidRPr="005A56EB">
        <w:rPr>
          <w:rFonts w:ascii="Times New Roman" w:hAnsi="Times New Roman" w:cs="Times New Roman"/>
          <w:sz w:val="24"/>
          <w:szCs w:val="24"/>
        </w:rPr>
        <w:t>s</w:t>
      </w:r>
      <w:r w:rsidRPr="005A56EB">
        <w:rPr>
          <w:rFonts w:ascii="Times New Roman" w:hAnsi="Times New Roman" w:cs="Times New Roman"/>
          <w:sz w:val="24"/>
          <w:szCs w:val="24"/>
        </w:rPr>
        <w:t xml:space="preserve">putum supernatant and corresponding sediment samples of the </w:t>
      </w:r>
      <w:r w:rsidR="006B76A9" w:rsidRPr="005A56EB">
        <w:rPr>
          <w:rFonts w:ascii="Times New Roman" w:hAnsi="Times New Roman" w:cs="Times New Roman"/>
          <w:sz w:val="24"/>
          <w:szCs w:val="24"/>
        </w:rPr>
        <w:t>23</w:t>
      </w:r>
      <w:r w:rsidRPr="005A56EB">
        <w:rPr>
          <w:rFonts w:ascii="Times New Roman" w:hAnsi="Times New Roman" w:cs="Times New Roman"/>
          <w:sz w:val="24"/>
          <w:szCs w:val="24"/>
        </w:rPr>
        <w:t xml:space="preserve"> </w:t>
      </w:r>
      <w:r w:rsidR="00163ACB" w:rsidRPr="005A56EB">
        <w:rPr>
          <w:rFonts w:ascii="Times New Roman" w:hAnsi="Times New Roman" w:cs="Times New Roman"/>
          <w:sz w:val="24"/>
          <w:szCs w:val="24"/>
        </w:rPr>
        <w:t>patients</w:t>
      </w:r>
    </w:p>
    <w:tbl>
      <w:tblPr>
        <w:tblStyle w:val="a3"/>
        <w:tblW w:w="131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1972"/>
        <w:gridCol w:w="1831"/>
        <w:gridCol w:w="1552"/>
        <w:gridCol w:w="1972"/>
        <w:gridCol w:w="1694"/>
        <w:gridCol w:w="1483"/>
      </w:tblGrid>
      <w:tr w:rsidR="00993A53" w:rsidRPr="005A56EB" w14:paraId="746A6DC8" w14:textId="77777777" w:rsidTr="002D1C7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174EB28" w14:textId="77777777" w:rsidR="00993A53" w:rsidRPr="005A56EB" w:rsidRDefault="00993A53" w:rsidP="00555A9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E380C" w14:textId="77777777" w:rsidR="00993A53" w:rsidRPr="005A56EB" w:rsidRDefault="00993A53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sputum supernatant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E805" w14:textId="77777777" w:rsidR="00993A53" w:rsidRPr="005A56EB" w:rsidRDefault="00993A53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sputum sediment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E27A" w14:textId="77777777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shared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5A47" w14:textId="77777777" w:rsidR="00993A53" w:rsidRPr="005A56EB" w:rsidRDefault="00993A53" w:rsidP="0017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supernatant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4EA7" w14:textId="77777777" w:rsidR="00993A53" w:rsidRPr="005A56EB" w:rsidRDefault="00993A53" w:rsidP="0017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sediment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35FB" w14:textId="77777777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Concordance rate (%)</w:t>
            </w:r>
          </w:p>
        </w:tc>
      </w:tr>
      <w:tr w:rsidR="00993A53" w:rsidRPr="005A56EB" w14:paraId="4447A8FA" w14:textId="77777777" w:rsidTr="002D1C73">
        <w:tc>
          <w:tcPr>
            <w:tcW w:w="13135" w:type="dxa"/>
            <w:gridSpan w:val="7"/>
            <w:tcBorders>
              <w:top w:val="single" w:sz="4" w:space="0" w:color="auto"/>
            </w:tcBorders>
          </w:tcPr>
          <w:p w14:paraId="32028AAB" w14:textId="435A6AF3" w:rsidR="00993A53" w:rsidRPr="005A56EB" w:rsidRDefault="00076533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93A53"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 genes</w:t>
            </w:r>
          </w:p>
        </w:tc>
      </w:tr>
      <w:tr w:rsidR="00993A53" w:rsidRPr="005A56EB" w14:paraId="35E6056F" w14:textId="77777777" w:rsidTr="002D1C73">
        <w:trPr>
          <w:trHeight w:val="272"/>
        </w:trPr>
        <w:tc>
          <w:tcPr>
            <w:tcW w:w="2660" w:type="dxa"/>
          </w:tcPr>
          <w:p w14:paraId="0C2A4B53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984" w:type="dxa"/>
            <w:vAlign w:val="center"/>
          </w:tcPr>
          <w:p w14:paraId="4D987416" w14:textId="72B70C22" w:rsidR="00993A53" w:rsidRPr="005A56EB" w:rsidRDefault="00993A53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14:paraId="6CAA4E06" w14:textId="32E2C0C3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5C803ACF" w14:textId="5F668758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14:paraId="3E5CF024" w14:textId="765ED914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vAlign w:val="center"/>
          </w:tcPr>
          <w:p w14:paraId="0E755FDC" w14:textId="5A55383A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  <w:vAlign w:val="center"/>
          </w:tcPr>
          <w:p w14:paraId="47EB390A" w14:textId="3F222A44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30.4%</w:t>
            </w:r>
          </w:p>
        </w:tc>
      </w:tr>
      <w:tr w:rsidR="00993A53" w:rsidRPr="005A56EB" w14:paraId="04B55F72" w14:textId="77777777" w:rsidTr="002D1C73">
        <w:tc>
          <w:tcPr>
            <w:tcW w:w="2660" w:type="dxa"/>
          </w:tcPr>
          <w:p w14:paraId="546B5062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1984" w:type="dxa"/>
            <w:vAlign w:val="center"/>
          </w:tcPr>
          <w:p w14:paraId="33F7B05F" w14:textId="45916A71" w:rsidR="00993A53" w:rsidRPr="005A56EB" w:rsidRDefault="00993A53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035EE26" w14:textId="5F21E889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FE0623" w14:textId="15FB2927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F3E60DA" w14:textId="2FBAD31F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14:paraId="17167A04" w14:textId="2CA1E830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5453B7CE" w14:textId="1CBC5529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A53" w:rsidRPr="005A56EB" w14:paraId="7169F240" w14:textId="77777777" w:rsidTr="002D1C73">
        <w:tc>
          <w:tcPr>
            <w:tcW w:w="2660" w:type="dxa"/>
          </w:tcPr>
          <w:p w14:paraId="3D1B4991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1984" w:type="dxa"/>
            <w:vAlign w:val="center"/>
          </w:tcPr>
          <w:p w14:paraId="5AE21F82" w14:textId="76AD5587" w:rsidR="00993A53" w:rsidRPr="005A56EB" w:rsidRDefault="00993A53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FDFA448" w14:textId="60C4208F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1AE20C5" w14:textId="4977DA36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02BEB67" w14:textId="2D4213AB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14:paraId="2FF28CFC" w14:textId="5AF964EE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7176CBA" w14:textId="6FDC42C4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D2247" w:rsidRPr="005A56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3A53" w:rsidRPr="005A56EB" w14:paraId="7CA8452F" w14:textId="77777777" w:rsidTr="002D1C73">
        <w:tc>
          <w:tcPr>
            <w:tcW w:w="13135" w:type="dxa"/>
            <w:gridSpan w:val="7"/>
          </w:tcPr>
          <w:p w14:paraId="087F6B47" w14:textId="77777777" w:rsidR="00993A53" w:rsidRPr="005A56EB" w:rsidRDefault="00993A53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 driver genes</w:t>
            </w:r>
          </w:p>
        </w:tc>
      </w:tr>
      <w:tr w:rsidR="00993A53" w:rsidRPr="005A56EB" w14:paraId="0527E537" w14:textId="77777777" w:rsidTr="002D1C73">
        <w:tc>
          <w:tcPr>
            <w:tcW w:w="2660" w:type="dxa"/>
          </w:tcPr>
          <w:p w14:paraId="5E7310BC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984" w:type="dxa"/>
            <w:vAlign w:val="center"/>
          </w:tcPr>
          <w:p w14:paraId="7F55F574" w14:textId="4C8FB9EE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1FB65855" w14:textId="56D0BFA4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31676BA7" w14:textId="7B63346D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799B70A" w14:textId="125AEB28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14:paraId="0F0FDE84" w14:textId="1971E26C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14:paraId="6ED8264C" w14:textId="7FC02E96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</w:tr>
      <w:tr w:rsidR="00993A53" w:rsidRPr="005A56EB" w14:paraId="70128A25" w14:textId="77777777" w:rsidTr="002D1C73">
        <w:trPr>
          <w:trHeight w:val="192"/>
        </w:trPr>
        <w:tc>
          <w:tcPr>
            <w:tcW w:w="2660" w:type="dxa"/>
          </w:tcPr>
          <w:p w14:paraId="66910FDF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1984" w:type="dxa"/>
            <w:vAlign w:val="center"/>
          </w:tcPr>
          <w:p w14:paraId="661AD43F" w14:textId="48524EEC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E4D66DB" w14:textId="2154CC13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A6F9D99" w14:textId="27DF244C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56FDDFB5" w14:textId="44FC0817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vAlign w:val="center"/>
          </w:tcPr>
          <w:p w14:paraId="647BF686" w14:textId="308FD883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2AD4F5F" w14:textId="0AC82EE6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993A53" w:rsidRPr="005A56EB" w14:paraId="68415B7D" w14:textId="77777777" w:rsidTr="002D1C73">
        <w:trPr>
          <w:trHeight w:val="192"/>
        </w:trPr>
        <w:tc>
          <w:tcPr>
            <w:tcW w:w="2660" w:type="dxa"/>
          </w:tcPr>
          <w:p w14:paraId="124AA0E9" w14:textId="77777777" w:rsidR="00993A53" w:rsidRPr="005A56EB" w:rsidRDefault="00993A53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1984" w:type="dxa"/>
            <w:vAlign w:val="center"/>
          </w:tcPr>
          <w:p w14:paraId="540BBAAC" w14:textId="18AA852F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10542E1" w14:textId="4D25B20B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1E3AF3F" w14:textId="36804443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6C6C0E1" w14:textId="13CF3ACB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vAlign w:val="center"/>
          </w:tcPr>
          <w:p w14:paraId="01E24C09" w14:textId="100F2875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618BB601" w14:textId="3CBBF184" w:rsidR="00993A53" w:rsidRPr="005A56EB" w:rsidRDefault="00993A53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E5FAB85" w14:textId="77777777" w:rsidR="001701A8" w:rsidRPr="005A56EB" w:rsidRDefault="001701A8" w:rsidP="001701A8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t xml:space="preserve">Abbreviations: SNV, single nucleotide variation; </w:t>
      </w:r>
      <w:proofErr w:type="spellStart"/>
      <w:r w:rsidRPr="005A56EB">
        <w:rPr>
          <w:rFonts w:ascii="Times New Roman" w:hAnsi="Times New Roman" w:cs="Times New Roman"/>
          <w:sz w:val="24"/>
          <w:szCs w:val="24"/>
        </w:rPr>
        <w:t>Indels</w:t>
      </w:r>
      <w:proofErr w:type="spellEnd"/>
      <w:r w:rsidRPr="005A56EB">
        <w:rPr>
          <w:rFonts w:ascii="Times New Roman" w:hAnsi="Times New Roman" w:cs="Times New Roman"/>
          <w:sz w:val="24"/>
          <w:szCs w:val="24"/>
        </w:rPr>
        <w:t>, small insertion or deletions; CNV, copy number variation</w:t>
      </w:r>
    </w:p>
    <w:p w14:paraId="2743D061" w14:textId="77777777" w:rsidR="001701A8" w:rsidRPr="005A56EB" w:rsidRDefault="001701A8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br w:type="page"/>
      </w:r>
    </w:p>
    <w:p w14:paraId="6F9DE284" w14:textId="5D1BDD59" w:rsidR="007637A4" w:rsidRPr="005A56EB" w:rsidRDefault="007637A4" w:rsidP="007637A4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 w:rsidR="00736246" w:rsidRPr="005A56EB">
        <w:rPr>
          <w:rFonts w:ascii="Times New Roman" w:hAnsi="Times New Roman" w:cs="Times New Roman"/>
          <w:sz w:val="24"/>
          <w:szCs w:val="24"/>
        </w:rPr>
        <w:t>By variant c</w:t>
      </w:r>
      <w:r w:rsidRPr="005A56EB">
        <w:rPr>
          <w:rFonts w:ascii="Times New Roman" w:hAnsi="Times New Roman" w:cs="Times New Roman"/>
          <w:sz w:val="24"/>
          <w:szCs w:val="24"/>
        </w:rPr>
        <w:t xml:space="preserve">omparison between the mutations detected from sputum supernatant and </w:t>
      </w:r>
      <w:r w:rsidR="00163ACB" w:rsidRPr="005A56EB">
        <w:rPr>
          <w:rFonts w:ascii="Times New Roman" w:hAnsi="Times New Roman" w:cs="Times New Roman"/>
          <w:sz w:val="24"/>
          <w:szCs w:val="24"/>
        </w:rPr>
        <w:t>matched tissue</w:t>
      </w:r>
      <w:r w:rsidRPr="005A56EB">
        <w:rPr>
          <w:rFonts w:ascii="Times New Roman" w:hAnsi="Times New Roman" w:cs="Times New Roman"/>
          <w:sz w:val="24"/>
          <w:szCs w:val="24"/>
        </w:rPr>
        <w:t xml:space="preserve"> samples of the </w:t>
      </w:r>
      <w:r w:rsidR="00B55396" w:rsidRPr="005A56EB">
        <w:rPr>
          <w:rFonts w:ascii="Times New Roman" w:hAnsi="Times New Roman" w:cs="Times New Roman"/>
          <w:sz w:val="24"/>
          <w:szCs w:val="24"/>
        </w:rPr>
        <w:t>26</w:t>
      </w:r>
      <w:r w:rsidRPr="005A56EB">
        <w:rPr>
          <w:rFonts w:ascii="Times New Roman" w:hAnsi="Times New Roman" w:cs="Times New Roman"/>
          <w:sz w:val="24"/>
          <w:szCs w:val="24"/>
        </w:rPr>
        <w:t xml:space="preserve"> </w:t>
      </w:r>
      <w:r w:rsidR="00163ACB" w:rsidRPr="005A56EB">
        <w:rPr>
          <w:rFonts w:ascii="Times New Roman" w:hAnsi="Times New Roman" w:cs="Times New Roman"/>
          <w:sz w:val="24"/>
          <w:szCs w:val="24"/>
        </w:rPr>
        <w:t>patients</w:t>
      </w:r>
    </w:p>
    <w:tbl>
      <w:tblPr>
        <w:tblStyle w:val="a3"/>
        <w:tblW w:w="13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670"/>
        <w:gridCol w:w="1552"/>
        <w:gridCol w:w="1552"/>
        <w:gridCol w:w="2114"/>
        <w:gridCol w:w="1832"/>
        <w:gridCol w:w="1483"/>
      </w:tblGrid>
      <w:tr w:rsidR="00AE720C" w:rsidRPr="005A56EB" w14:paraId="70047730" w14:textId="77777777" w:rsidTr="002D1C7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707D485" w14:textId="77777777" w:rsidR="00AE720C" w:rsidRPr="005A56EB" w:rsidRDefault="00AE720C" w:rsidP="00555A9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C1D1" w14:textId="77777777" w:rsidR="00AE720C" w:rsidRPr="005A56EB" w:rsidRDefault="00AE720C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sputum supernatant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83E0C" w14:textId="77777777" w:rsidR="00AE720C" w:rsidRPr="005A56EB" w:rsidRDefault="00AE720C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tissue samples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4B5E" w14:textId="7777777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shared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53C65" w14:textId="7777777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sputum supernatant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AFA6E" w14:textId="77777777" w:rsidR="00AE720C" w:rsidRPr="005A56EB" w:rsidRDefault="00AE720C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tissue samples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4505" w14:textId="7777777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Concordance rate (%)</w:t>
            </w:r>
          </w:p>
        </w:tc>
      </w:tr>
      <w:tr w:rsidR="00AE720C" w:rsidRPr="005A56EB" w14:paraId="052F071F" w14:textId="77777777" w:rsidTr="002D1C73">
        <w:tc>
          <w:tcPr>
            <w:tcW w:w="13417" w:type="dxa"/>
            <w:gridSpan w:val="7"/>
            <w:tcBorders>
              <w:top w:val="single" w:sz="4" w:space="0" w:color="auto"/>
            </w:tcBorders>
          </w:tcPr>
          <w:p w14:paraId="765D59AE" w14:textId="6DBA5F39" w:rsidR="00AE720C" w:rsidRPr="005A56EB" w:rsidRDefault="00076533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E720C"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 genes</w:t>
            </w:r>
          </w:p>
        </w:tc>
      </w:tr>
      <w:tr w:rsidR="00AE720C" w:rsidRPr="005A56EB" w14:paraId="38E83CE6" w14:textId="77777777" w:rsidTr="002D1C73">
        <w:trPr>
          <w:trHeight w:val="272"/>
        </w:trPr>
        <w:tc>
          <w:tcPr>
            <w:tcW w:w="2235" w:type="dxa"/>
          </w:tcPr>
          <w:p w14:paraId="7830EB3A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2693" w:type="dxa"/>
            <w:vAlign w:val="center"/>
          </w:tcPr>
          <w:p w14:paraId="07BD0E67" w14:textId="395582A2" w:rsidR="00AE720C" w:rsidRPr="005A56EB" w:rsidRDefault="00AE720C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14:paraId="7ADE427B" w14:textId="06BF28E3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14:paraId="3BA96A4F" w14:textId="0B7C60FE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14:paraId="6D603BD4" w14:textId="10A6AA69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1FE419C5" w14:textId="64E43750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1" w:type="dxa"/>
            <w:vAlign w:val="center"/>
          </w:tcPr>
          <w:p w14:paraId="0CBD67D2" w14:textId="23055D12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4789" w:rsidRPr="005A56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0C" w:rsidRPr="005A56EB" w14:paraId="6C68EAF8" w14:textId="77777777" w:rsidTr="002D1C73">
        <w:tc>
          <w:tcPr>
            <w:tcW w:w="2235" w:type="dxa"/>
          </w:tcPr>
          <w:p w14:paraId="40751F91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2693" w:type="dxa"/>
            <w:vAlign w:val="center"/>
          </w:tcPr>
          <w:p w14:paraId="6848D99C" w14:textId="417067E6" w:rsidR="00AE720C" w:rsidRPr="005A56EB" w:rsidRDefault="00AE720C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DD13101" w14:textId="6D867A80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6D51CC73" w14:textId="13C0E609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61D56DA" w14:textId="222AE89B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E99EBCB" w14:textId="632A556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14:paraId="51F7BBAA" w14:textId="10E4938D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</w:tr>
      <w:tr w:rsidR="00AE720C" w:rsidRPr="005A56EB" w14:paraId="4D4AB301" w14:textId="77777777" w:rsidTr="002D1C73">
        <w:tc>
          <w:tcPr>
            <w:tcW w:w="2235" w:type="dxa"/>
          </w:tcPr>
          <w:p w14:paraId="100B20FC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2693" w:type="dxa"/>
            <w:vAlign w:val="center"/>
          </w:tcPr>
          <w:p w14:paraId="15FD24D0" w14:textId="104EC7D9" w:rsidR="00AE720C" w:rsidRPr="005A56EB" w:rsidRDefault="00AE720C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2B79FB0F" w14:textId="5B166F78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1A12A79" w14:textId="6A459BF1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1EE70407" w14:textId="6A1B3B1D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92507F" w14:textId="31B7BA8D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14:paraId="4B26CFD8" w14:textId="71D1C1B3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D2247" w:rsidRPr="005A56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0C" w:rsidRPr="005A56EB" w14:paraId="6BBBADAA" w14:textId="77777777" w:rsidTr="002D1C73">
        <w:tc>
          <w:tcPr>
            <w:tcW w:w="13417" w:type="dxa"/>
            <w:gridSpan w:val="7"/>
          </w:tcPr>
          <w:p w14:paraId="45C2010F" w14:textId="77777777" w:rsidR="00AE720C" w:rsidRPr="005A56EB" w:rsidRDefault="00AE720C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 driver genes</w:t>
            </w:r>
          </w:p>
        </w:tc>
      </w:tr>
      <w:tr w:rsidR="00AE720C" w:rsidRPr="005A56EB" w14:paraId="6BEA47B2" w14:textId="77777777" w:rsidTr="002D1C73">
        <w:tc>
          <w:tcPr>
            <w:tcW w:w="2235" w:type="dxa"/>
          </w:tcPr>
          <w:p w14:paraId="1A024EFE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2693" w:type="dxa"/>
            <w:vAlign w:val="center"/>
          </w:tcPr>
          <w:p w14:paraId="659D200B" w14:textId="13DCB252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57E3218F" w14:textId="4923E33F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14:paraId="3F8B4371" w14:textId="7EA07C92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5CA70D62" w14:textId="707C861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FB93F72" w14:textId="74311C82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vAlign w:val="center"/>
          </w:tcPr>
          <w:p w14:paraId="50C3BFE5" w14:textId="10E4DB6A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789" w:rsidRPr="005A56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0C" w:rsidRPr="005A56EB" w14:paraId="13C4E061" w14:textId="77777777" w:rsidTr="002D1C73">
        <w:trPr>
          <w:trHeight w:val="192"/>
        </w:trPr>
        <w:tc>
          <w:tcPr>
            <w:tcW w:w="2235" w:type="dxa"/>
          </w:tcPr>
          <w:p w14:paraId="15CD5D32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2693" w:type="dxa"/>
            <w:vAlign w:val="center"/>
          </w:tcPr>
          <w:p w14:paraId="027D0AFA" w14:textId="2081608A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21ADB0F" w14:textId="6AC69F0F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B5297CF" w14:textId="6DD7F388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1A96A403" w14:textId="1B1FA6AF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01EC954" w14:textId="284A3A01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14:paraId="581E64DF" w14:textId="429FF535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E720C" w:rsidRPr="005A56EB" w14:paraId="217CC855" w14:textId="77777777" w:rsidTr="002D1C73">
        <w:trPr>
          <w:trHeight w:val="192"/>
        </w:trPr>
        <w:tc>
          <w:tcPr>
            <w:tcW w:w="2235" w:type="dxa"/>
          </w:tcPr>
          <w:p w14:paraId="02E0B1C6" w14:textId="77777777" w:rsidR="00AE720C" w:rsidRPr="005A56EB" w:rsidRDefault="00AE720C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2693" w:type="dxa"/>
            <w:vAlign w:val="center"/>
          </w:tcPr>
          <w:p w14:paraId="0110A5D1" w14:textId="1E613FE3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6B5EED5" w14:textId="60D0E66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C986326" w14:textId="3DA1AE17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3D2086B1" w14:textId="0D8EB89D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3DBFEA2" w14:textId="374D2804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14:paraId="49C44785" w14:textId="2604F826" w:rsidR="00AE720C" w:rsidRPr="005A56EB" w:rsidRDefault="00AE720C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83.3%</w:t>
            </w:r>
          </w:p>
        </w:tc>
      </w:tr>
    </w:tbl>
    <w:p w14:paraId="4B1E30B5" w14:textId="77777777" w:rsidR="00163ACB" w:rsidRPr="005A56EB" w:rsidRDefault="007637A4" w:rsidP="007637A4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t xml:space="preserve">Abbreviations: SNV, single nucleotide variation; </w:t>
      </w:r>
      <w:proofErr w:type="spellStart"/>
      <w:r w:rsidRPr="005A56EB">
        <w:rPr>
          <w:rFonts w:ascii="Times New Roman" w:hAnsi="Times New Roman" w:cs="Times New Roman"/>
          <w:sz w:val="24"/>
          <w:szCs w:val="24"/>
        </w:rPr>
        <w:t>Indels</w:t>
      </w:r>
      <w:proofErr w:type="spellEnd"/>
      <w:r w:rsidRPr="005A56EB">
        <w:rPr>
          <w:rFonts w:ascii="Times New Roman" w:hAnsi="Times New Roman" w:cs="Times New Roman"/>
          <w:sz w:val="24"/>
          <w:szCs w:val="24"/>
        </w:rPr>
        <w:t>, small insertion or deletions; CNV, copy number variation</w:t>
      </w:r>
    </w:p>
    <w:p w14:paraId="603F62B3" w14:textId="77777777" w:rsidR="00163ACB" w:rsidRPr="005A56EB" w:rsidRDefault="00163ACB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br w:type="page"/>
      </w:r>
    </w:p>
    <w:p w14:paraId="7ABA49C9" w14:textId="41DCCA10" w:rsidR="00163ACB" w:rsidRPr="005A56EB" w:rsidRDefault="00163ACB" w:rsidP="00163ACB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Pr="005A56EB">
        <w:rPr>
          <w:rFonts w:ascii="Times New Roman" w:hAnsi="Times New Roman" w:cs="Times New Roman"/>
          <w:sz w:val="24"/>
          <w:szCs w:val="24"/>
        </w:rPr>
        <w:t xml:space="preserve">. </w:t>
      </w:r>
      <w:r w:rsidR="00E645B4" w:rsidRPr="005A56EB">
        <w:rPr>
          <w:rFonts w:ascii="Times New Roman" w:hAnsi="Times New Roman" w:cs="Times New Roman"/>
          <w:sz w:val="24"/>
          <w:szCs w:val="24"/>
        </w:rPr>
        <w:t>By variant c</w:t>
      </w:r>
      <w:r w:rsidRPr="005A56EB">
        <w:rPr>
          <w:rFonts w:ascii="Times New Roman" w:hAnsi="Times New Roman" w:cs="Times New Roman"/>
          <w:sz w:val="24"/>
          <w:szCs w:val="24"/>
        </w:rPr>
        <w:t xml:space="preserve">omparison between the mutations detected from sputum supernatant and matched plasma samples of the </w:t>
      </w:r>
      <w:r w:rsidR="0086130F" w:rsidRPr="005A56EB">
        <w:rPr>
          <w:rFonts w:ascii="Times New Roman" w:hAnsi="Times New Roman" w:cs="Times New Roman"/>
          <w:sz w:val="24"/>
          <w:szCs w:val="24"/>
        </w:rPr>
        <w:t>28</w:t>
      </w:r>
      <w:r w:rsidRPr="005A56EB">
        <w:rPr>
          <w:rFonts w:ascii="Times New Roman" w:hAnsi="Times New Roman" w:cs="Times New Roman"/>
          <w:sz w:val="24"/>
          <w:szCs w:val="24"/>
        </w:rPr>
        <w:t xml:space="preserve"> patients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418"/>
        <w:gridCol w:w="1984"/>
        <w:gridCol w:w="1843"/>
        <w:gridCol w:w="1483"/>
      </w:tblGrid>
      <w:tr w:rsidR="00627134" w:rsidRPr="005A56EB" w14:paraId="16BCA98B" w14:textId="77777777" w:rsidTr="002D1C7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7AD9F47" w14:textId="77777777" w:rsidR="00627134" w:rsidRPr="005A56EB" w:rsidRDefault="00627134" w:rsidP="00555A9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38FD" w14:textId="77777777" w:rsidR="00627134" w:rsidRPr="005A56EB" w:rsidRDefault="00627134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sputum supernatant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25B8" w14:textId="77777777" w:rsidR="00627134" w:rsidRPr="005A56EB" w:rsidRDefault="00627134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Total # of mutations in plasma samples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B539" w14:textId="77777777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shared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F1A15" w14:textId="77777777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sputum supernatant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7152" w14:textId="77777777" w:rsidR="00627134" w:rsidRPr="005A56EB" w:rsidRDefault="00627134" w:rsidP="0016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# of mutations detected only in plasma samples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1A87" w14:textId="77777777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Concordance rate (%)</w:t>
            </w:r>
          </w:p>
        </w:tc>
      </w:tr>
      <w:tr w:rsidR="00627134" w:rsidRPr="005A56EB" w14:paraId="3300B4CC" w14:textId="77777777" w:rsidTr="002D1C73">
        <w:tc>
          <w:tcPr>
            <w:tcW w:w="12424" w:type="dxa"/>
            <w:gridSpan w:val="7"/>
            <w:tcBorders>
              <w:top w:val="single" w:sz="4" w:space="0" w:color="auto"/>
            </w:tcBorders>
          </w:tcPr>
          <w:p w14:paraId="5EC1034D" w14:textId="526F9C5C" w:rsidR="00627134" w:rsidRPr="005A56EB" w:rsidRDefault="00076533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27134"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 genes</w:t>
            </w:r>
          </w:p>
        </w:tc>
      </w:tr>
      <w:tr w:rsidR="00627134" w:rsidRPr="005A56EB" w14:paraId="0FC9C74B" w14:textId="77777777" w:rsidTr="002D1C73">
        <w:trPr>
          <w:trHeight w:val="272"/>
        </w:trPr>
        <w:tc>
          <w:tcPr>
            <w:tcW w:w="1951" w:type="dxa"/>
          </w:tcPr>
          <w:p w14:paraId="3D24C0E3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2126" w:type="dxa"/>
            <w:vAlign w:val="center"/>
          </w:tcPr>
          <w:p w14:paraId="4608A8F2" w14:textId="3F40DE8E" w:rsidR="00627134" w:rsidRPr="005A56EB" w:rsidRDefault="00627134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14:paraId="554615A4" w14:textId="1D6C8470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14:paraId="7CB92A96" w14:textId="02A55E23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14:paraId="66A3BFEA" w14:textId="56305612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14:paraId="330664ED" w14:textId="1762CE5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  <w:vAlign w:val="center"/>
          </w:tcPr>
          <w:p w14:paraId="175AA7AD" w14:textId="73148876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31.0%</w:t>
            </w:r>
          </w:p>
        </w:tc>
      </w:tr>
      <w:tr w:rsidR="00627134" w:rsidRPr="005A56EB" w14:paraId="078C50AB" w14:textId="77777777" w:rsidTr="002D1C73">
        <w:tc>
          <w:tcPr>
            <w:tcW w:w="1951" w:type="dxa"/>
          </w:tcPr>
          <w:p w14:paraId="4AEF4982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2126" w:type="dxa"/>
            <w:vAlign w:val="center"/>
          </w:tcPr>
          <w:p w14:paraId="58E3E215" w14:textId="1800919B" w:rsidR="00627134" w:rsidRPr="005A56EB" w:rsidRDefault="00627134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9652203" w14:textId="37833A18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77D69385" w14:textId="14EBB78F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DE64BA0" w14:textId="4493160E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6F03223" w14:textId="59C1FC3D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14:paraId="47C029AD" w14:textId="75C40263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</w:tr>
      <w:tr w:rsidR="00627134" w:rsidRPr="005A56EB" w14:paraId="728506D0" w14:textId="77777777" w:rsidTr="002D1C73">
        <w:tc>
          <w:tcPr>
            <w:tcW w:w="1951" w:type="dxa"/>
          </w:tcPr>
          <w:p w14:paraId="2CFF750E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2126" w:type="dxa"/>
            <w:vAlign w:val="center"/>
          </w:tcPr>
          <w:p w14:paraId="5F3A781F" w14:textId="68DE9D2E" w:rsidR="00627134" w:rsidRPr="005A56EB" w:rsidRDefault="00627134" w:rsidP="00555A9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11F1587" w14:textId="40587AD1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089B4D6" w14:textId="31ED9622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DEB3296" w14:textId="01F6923F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3006ADB" w14:textId="6B552572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421001A4" w14:textId="7B9C82F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83.5%</w:t>
            </w:r>
          </w:p>
        </w:tc>
      </w:tr>
      <w:tr w:rsidR="00627134" w:rsidRPr="005A56EB" w14:paraId="743F5144" w14:textId="77777777" w:rsidTr="002D1C73">
        <w:tc>
          <w:tcPr>
            <w:tcW w:w="12424" w:type="dxa"/>
            <w:gridSpan w:val="7"/>
          </w:tcPr>
          <w:p w14:paraId="74635079" w14:textId="77777777" w:rsidR="00627134" w:rsidRPr="005A56EB" w:rsidRDefault="00627134" w:rsidP="00555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 driver genes</w:t>
            </w:r>
          </w:p>
        </w:tc>
      </w:tr>
      <w:tr w:rsidR="00627134" w:rsidRPr="005A56EB" w14:paraId="640DF468" w14:textId="77777777" w:rsidTr="002D1C73">
        <w:tc>
          <w:tcPr>
            <w:tcW w:w="1951" w:type="dxa"/>
          </w:tcPr>
          <w:p w14:paraId="3C1D8D0C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 xml:space="preserve">SNV + </w:t>
            </w:r>
            <w:proofErr w:type="spellStart"/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2126" w:type="dxa"/>
            <w:vAlign w:val="center"/>
          </w:tcPr>
          <w:p w14:paraId="54B8DC33" w14:textId="36A6B631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52E47E5F" w14:textId="29A0B27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22D0E74B" w14:textId="1D1918A5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4345E77C" w14:textId="3C8A66D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BCE6593" w14:textId="24987AE9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14:paraId="681B96F6" w14:textId="3E59AA21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46.2%</w:t>
            </w:r>
          </w:p>
        </w:tc>
      </w:tr>
      <w:tr w:rsidR="00627134" w:rsidRPr="005A56EB" w14:paraId="696BB4BD" w14:textId="77777777" w:rsidTr="002D1C73">
        <w:trPr>
          <w:trHeight w:val="192"/>
        </w:trPr>
        <w:tc>
          <w:tcPr>
            <w:tcW w:w="1951" w:type="dxa"/>
          </w:tcPr>
          <w:p w14:paraId="0666175F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CNV</w:t>
            </w:r>
          </w:p>
        </w:tc>
        <w:tc>
          <w:tcPr>
            <w:tcW w:w="2126" w:type="dxa"/>
            <w:vAlign w:val="center"/>
          </w:tcPr>
          <w:p w14:paraId="159B45F8" w14:textId="34A85004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0D80640" w14:textId="67216E5D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A747FD7" w14:textId="66D320B2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2595CF5" w14:textId="08AFFB97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9500024" w14:textId="62537325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14:paraId="2D223674" w14:textId="10E090D4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7134" w:rsidRPr="005A56EB" w14:paraId="4FC38777" w14:textId="77777777" w:rsidTr="002D1C73">
        <w:trPr>
          <w:trHeight w:val="192"/>
        </w:trPr>
        <w:tc>
          <w:tcPr>
            <w:tcW w:w="1951" w:type="dxa"/>
          </w:tcPr>
          <w:p w14:paraId="6401A747" w14:textId="77777777" w:rsidR="00627134" w:rsidRPr="005A56EB" w:rsidRDefault="00627134" w:rsidP="00555A9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Fusions</w:t>
            </w:r>
          </w:p>
        </w:tc>
        <w:tc>
          <w:tcPr>
            <w:tcW w:w="2126" w:type="dxa"/>
            <w:vAlign w:val="center"/>
          </w:tcPr>
          <w:p w14:paraId="2E7B28DC" w14:textId="3812779B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5DB4023" w14:textId="0893D00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7384BBF" w14:textId="4C9A4AB1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5BE8760" w14:textId="3675417C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95C2F10" w14:textId="4B5E133A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708653B3" w14:textId="1220CA84" w:rsidR="00627134" w:rsidRPr="005A56EB" w:rsidRDefault="00627134" w:rsidP="0055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1B30B3C7" w14:textId="52BB47E2" w:rsidR="00904E07" w:rsidRPr="005A56EB" w:rsidRDefault="00163ACB" w:rsidP="00163ACB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t xml:space="preserve">Abbreviations: SNV, single nucleotide variation; </w:t>
      </w:r>
      <w:proofErr w:type="spellStart"/>
      <w:r w:rsidRPr="005A56EB">
        <w:rPr>
          <w:rFonts w:ascii="Times New Roman" w:hAnsi="Times New Roman" w:cs="Times New Roman"/>
          <w:sz w:val="24"/>
          <w:szCs w:val="24"/>
        </w:rPr>
        <w:t>Indels</w:t>
      </w:r>
      <w:proofErr w:type="spellEnd"/>
      <w:r w:rsidRPr="005A56EB">
        <w:rPr>
          <w:rFonts w:ascii="Times New Roman" w:hAnsi="Times New Roman" w:cs="Times New Roman"/>
          <w:sz w:val="24"/>
          <w:szCs w:val="24"/>
        </w:rPr>
        <w:t>, small insertion or deletions; CNV, copy number variation</w:t>
      </w:r>
    </w:p>
    <w:p w14:paraId="0B81C433" w14:textId="77777777" w:rsidR="00EA749B" w:rsidRPr="005A56EB" w:rsidRDefault="00904E07" w:rsidP="00EA749B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br w:type="page"/>
      </w:r>
      <w:r w:rsidR="00EA749B" w:rsidRPr="005A56EB"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="00EA749B" w:rsidRPr="005A56EB">
        <w:rPr>
          <w:rFonts w:ascii="Times New Roman" w:hAnsi="Times New Roman" w:cs="Times New Roman"/>
          <w:sz w:val="24"/>
          <w:szCs w:val="24"/>
        </w:rPr>
        <w:t>. Univariate analysis between clinicopathologic features and either mutation detection rates or maximum allelic fraction in sputum supernatant and sediment samples of the cohort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1855"/>
        <w:gridCol w:w="1594"/>
        <w:gridCol w:w="1776"/>
        <w:gridCol w:w="1843"/>
      </w:tblGrid>
      <w:tr w:rsidR="00EA749B" w:rsidRPr="005A56EB" w14:paraId="2D516345" w14:textId="77777777" w:rsidTr="007D0140">
        <w:tc>
          <w:tcPr>
            <w:tcW w:w="4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08D5B" w14:textId="77777777" w:rsidR="00EA749B" w:rsidRPr="005A56EB" w:rsidRDefault="00EA749B" w:rsidP="007D0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Clinicopathologic features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B91B6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Mutation detection rate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1A8B1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 allelic fraction</w:t>
            </w:r>
          </w:p>
        </w:tc>
      </w:tr>
      <w:tr w:rsidR="00EA749B" w:rsidRPr="005A56EB" w14:paraId="36191F1D" w14:textId="77777777" w:rsidTr="007D0140">
        <w:tc>
          <w:tcPr>
            <w:tcW w:w="4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A2728" w14:textId="77777777" w:rsidR="00EA749B" w:rsidRPr="005A56EB" w:rsidRDefault="00EA749B" w:rsidP="007D014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D023E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Sputum supernatant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6C0721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Sputum sediment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A212E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Sputum supernatant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7B14A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Sputum sediment</w:t>
            </w:r>
          </w:p>
        </w:tc>
      </w:tr>
      <w:tr w:rsidR="00EA749B" w:rsidRPr="005A56EB" w14:paraId="138D7C1C" w14:textId="77777777" w:rsidTr="007D0140"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B78B5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Age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9FD5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=0.922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A6D65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=0.944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38C52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AC3FD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=0.285</w:t>
            </w:r>
          </w:p>
        </w:tc>
      </w:tr>
      <w:tr w:rsidR="00EA749B" w:rsidRPr="005A56EB" w14:paraId="369E621A" w14:textId="77777777" w:rsidTr="007D0140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EF552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Gender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7618A4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=0.390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E9C1ADA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5BEFDC8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1A9A4E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=0.269</w:t>
            </w:r>
          </w:p>
        </w:tc>
      </w:tr>
      <w:tr w:rsidR="00EA749B" w:rsidRPr="005A56EB" w14:paraId="58A9D317" w14:textId="77777777" w:rsidTr="007D0140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4906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Smoking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status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8CC5341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=0.083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1A2C9FE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=0.705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D2BE5E5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=0.018*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1F6D1E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=0.728</w:t>
            </w:r>
          </w:p>
        </w:tc>
      </w:tr>
      <w:tr w:rsidR="00EA749B" w:rsidRPr="005A56EB" w14:paraId="77DF3487" w14:textId="77777777" w:rsidTr="007D0140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4063B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Histology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3FB5FD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=0.442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C35795D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1A7D9F15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4CA83E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=0.911</w:t>
            </w:r>
          </w:p>
        </w:tc>
      </w:tr>
      <w:tr w:rsidR="00EA749B" w:rsidRPr="005A56EB" w14:paraId="4B719588" w14:textId="77777777" w:rsidTr="007D0140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F0F5C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egree of cellular d</w:t>
            </w: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ifferentiat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ion of sputum cytology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2D210E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=0.544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C59C763" w14:textId="77777777" w:rsidR="00EA749B" w:rsidRPr="005A56EB" w:rsidRDefault="00EA749B" w:rsidP="007D0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=0.408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B430EBB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=0.227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99201B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=0.908</w:t>
            </w:r>
          </w:p>
        </w:tc>
      </w:tr>
      <w:tr w:rsidR="00EA749B" w:rsidRPr="005A56EB" w14:paraId="6AED1633" w14:textId="77777777" w:rsidTr="007D0140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2678F" w14:textId="77777777" w:rsidR="00EA749B" w:rsidRPr="005A56EB" w:rsidRDefault="00EA749B" w:rsidP="007D0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Location of primary tumor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8CBBB08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AD2F2D5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9BA8F72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=0.972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1DFFDB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=0.581</w:t>
            </w:r>
          </w:p>
        </w:tc>
      </w:tr>
      <w:tr w:rsidR="00EA749B" w:rsidRPr="005A56EB" w14:paraId="58E59C5D" w14:textId="77777777" w:rsidTr="007D0140"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991B9" w14:textId="77777777" w:rsidR="00EA749B" w:rsidRPr="005A56EB" w:rsidRDefault="00EA749B" w:rsidP="007D01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Disease s</w:t>
            </w:r>
            <w:r w:rsidRPr="005A56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tage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2EF6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E7B85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=1.000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5633A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C6D9B" w14:textId="77777777" w:rsidR="00EA749B" w:rsidRPr="005A56EB" w:rsidRDefault="00EA749B" w:rsidP="007D01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</w:pPr>
            <w:r w:rsidRPr="005A56E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A56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=0.885</w:t>
            </w:r>
          </w:p>
        </w:tc>
      </w:tr>
    </w:tbl>
    <w:p w14:paraId="75C17C45" w14:textId="315F3D42" w:rsidR="00904E07" w:rsidRPr="005A56EB" w:rsidRDefault="005A56EB" w:rsidP="00EA749B">
      <w:pPr>
        <w:rPr>
          <w:rFonts w:ascii="Times New Roman" w:hAnsi="Times New Roman" w:cs="Times New Roman"/>
          <w:sz w:val="24"/>
          <w:szCs w:val="24"/>
        </w:rPr>
      </w:pPr>
      <w:r w:rsidRPr="005A56EB">
        <w:rPr>
          <w:rFonts w:ascii="Times New Roman" w:hAnsi="Times New Roman" w:cs="Times New Roman"/>
          <w:sz w:val="24"/>
          <w:szCs w:val="24"/>
        </w:rPr>
        <w:t>Note: Asterisk (*) denotes statistical significance.</w:t>
      </w:r>
    </w:p>
    <w:sectPr w:rsidR="00904E07" w:rsidRPr="005A56EB" w:rsidSect="008E25D5">
      <w:pgSz w:w="15840" w:h="12240" w:orient="landscape" w:code="1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4A35" w14:textId="77777777" w:rsidR="008320B8" w:rsidRDefault="008320B8" w:rsidP="0062036C">
      <w:r>
        <w:separator/>
      </w:r>
    </w:p>
  </w:endnote>
  <w:endnote w:type="continuationSeparator" w:id="0">
    <w:p w14:paraId="6F545400" w14:textId="77777777" w:rsidR="008320B8" w:rsidRDefault="008320B8" w:rsidP="006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4D27" w14:textId="77777777" w:rsidR="008320B8" w:rsidRDefault="008320B8" w:rsidP="0062036C">
      <w:r>
        <w:separator/>
      </w:r>
    </w:p>
  </w:footnote>
  <w:footnote w:type="continuationSeparator" w:id="0">
    <w:p w14:paraId="672841B9" w14:textId="77777777" w:rsidR="008320B8" w:rsidRDefault="008320B8" w:rsidP="0062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wNwZRlkaWpibmSjpKwanFxZn5eSAFhua1AJlYOtUtAAAA"/>
  </w:docVars>
  <w:rsids>
    <w:rsidRoot w:val="001701A8"/>
    <w:rsid w:val="000055D9"/>
    <w:rsid w:val="00076533"/>
    <w:rsid w:val="000A5586"/>
    <w:rsid w:val="000E70D0"/>
    <w:rsid w:val="00163ACB"/>
    <w:rsid w:val="00165948"/>
    <w:rsid w:val="001701A8"/>
    <w:rsid w:val="0017472E"/>
    <w:rsid w:val="00180EFF"/>
    <w:rsid w:val="001D21E4"/>
    <w:rsid w:val="002202CF"/>
    <w:rsid w:val="002776ED"/>
    <w:rsid w:val="002810D5"/>
    <w:rsid w:val="002D0D8F"/>
    <w:rsid w:val="002D1C73"/>
    <w:rsid w:val="003269CB"/>
    <w:rsid w:val="00351E38"/>
    <w:rsid w:val="003714B4"/>
    <w:rsid w:val="00383774"/>
    <w:rsid w:val="004231F5"/>
    <w:rsid w:val="004926CC"/>
    <w:rsid w:val="004C0490"/>
    <w:rsid w:val="00542131"/>
    <w:rsid w:val="005822B0"/>
    <w:rsid w:val="005A56EB"/>
    <w:rsid w:val="00617D35"/>
    <w:rsid w:val="0062036C"/>
    <w:rsid w:val="00627134"/>
    <w:rsid w:val="00670476"/>
    <w:rsid w:val="00674ECB"/>
    <w:rsid w:val="00684789"/>
    <w:rsid w:val="006A216D"/>
    <w:rsid w:val="006B76A9"/>
    <w:rsid w:val="006E0D84"/>
    <w:rsid w:val="00736246"/>
    <w:rsid w:val="007637A4"/>
    <w:rsid w:val="007739A1"/>
    <w:rsid w:val="008320B8"/>
    <w:rsid w:val="0086130F"/>
    <w:rsid w:val="008A5AC4"/>
    <w:rsid w:val="00904E07"/>
    <w:rsid w:val="00932868"/>
    <w:rsid w:val="00970586"/>
    <w:rsid w:val="00993A53"/>
    <w:rsid w:val="009A55F2"/>
    <w:rsid w:val="00A04164"/>
    <w:rsid w:val="00A34C8A"/>
    <w:rsid w:val="00A54D87"/>
    <w:rsid w:val="00AE720C"/>
    <w:rsid w:val="00B55396"/>
    <w:rsid w:val="00BD6CAC"/>
    <w:rsid w:val="00BF0C74"/>
    <w:rsid w:val="00BF401C"/>
    <w:rsid w:val="00C6488F"/>
    <w:rsid w:val="00CA465D"/>
    <w:rsid w:val="00CF2619"/>
    <w:rsid w:val="00D3590F"/>
    <w:rsid w:val="00D4535D"/>
    <w:rsid w:val="00D964F0"/>
    <w:rsid w:val="00D97C48"/>
    <w:rsid w:val="00DF1212"/>
    <w:rsid w:val="00E3386C"/>
    <w:rsid w:val="00E560AD"/>
    <w:rsid w:val="00E645B4"/>
    <w:rsid w:val="00EA749B"/>
    <w:rsid w:val="00E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D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37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2036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62036C"/>
    <w:rPr>
      <w:kern w:val="2"/>
      <w:sz w:val="21"/>
    </w:rPr>
  </w:style>
  <w:style w:type="paragraph" w:styleId="a6">
    <w:name w:val="footer"/>
    <w:basedOn w:val="a"/>
    <w:link w:val="Char0"/>
    <w:uiPriority w:val="99"/>
    <w:unhideWhenUsed/>
    <w:rsid w:val="0062036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62036C"/>
    <w:rPr>
      <w:kern w:val="2"/>
      <w:sz w:val="21"/>
    </w:rPr>
  </w:style>
  <w:style w:type="paragraph" w:styleId="a7">
    <w:name w:val="List Paragraph"/>
    <w:basedOn w:val="a"/>
    <w:uiPriority w:val="34"/>
    <w:qFormat/>
    <w:rsid w:val="005A56EB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269CB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69CB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37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2036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62036C"/>
    <w:rPr>
      <w:kern w:val="2"/>
      <w:sz w:val="21"/>
    </w:rPr>
  </w:style>
  <w:style w:type="paragraph" w:styleId="a6">
    <w:name w:val="footer"/>
    <w:basedOn w:val="a"/>
    <w:link w:val="Char0"/>
    <w:uiPriority w:val="99"/>
    <w:unhideWhenUsed/>
    <w:rsid w:val="0062036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62036C"/>
    <w:rPr>
      <w:kern w:val="2"/>
      <w:sz w:val="21"/>
    </w:rPr>
  </w:style>
  <w:style w:type="paragraph" w:styleId="a7">
    <w:name w:val="List Paragraph"/>
    <w:basedOn w:val="a"/>
    <w:uiPriority w:val="34"/>
    <w:qFormat/>
    <w:rsid w:val="005A56EB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269CB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69CB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529</Words>
  <Characters>3021</Characters>
  <Application>Microsoft Office Word</Application>
  <DocSecurity>0</DocSecurity>
  <Lines>25</Lines>
  <Paragraphs>7</Paragraphs>
  <ScaleCrop>false</ScaleCrop>
  <Company>SCCM-CAS-SH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饶安丽</dc:creator>
  <cp:lastModifiedBy>饶安丽</cp:lastModifiedBy>
  <cp:revision>6</cp:revision>
  <dcterms:created xsi:type="dcterms:W3CDTF">2020-11-03T10:23:00Z</dcterms:created>
  <dcterms:modified xsi:type="dcterms:W3CDTF">2020-11-04T02:41:00Z</dcterms:modified>
</cp:coreProperties>
</file>