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8BE32" w14:textId="77777777" w:rsidR="00D55975" w:rsidRPr="004C5307" w:rsidRDefault="00D55975" w:rsidP="00D55975">
      <w:pPr>
        <w:spacing w:line="360" w:lineRule="auto"/>
        <w:jc w:val="both"/>
        <w:rPr>
          <w:rFonts w:ascii="Times" w:eastAsia="Times New Roman" w:hAnsi="Times" w:cs="Times New Roman"/>
          <w:b/>
          <w:sz w:val="20"/>
          <w:szCs w:val="20"/>
        </w:rPr>
      </w:pPr>
      <w:r w:rsidRPr="004C5307">
        <w:rPr>
          <w:rFonts w:ascii="Arial" w:eastAsia="Times New Roman" w:hAnsi="Arial" w:cs="Arial"/>
          <w:b/>
          <w:color w:val="222222"/>
          <w:sz w:val="20"/>
          <w:szCs w:val="20"/>
          <w:shd w:val="clear" w:color="auto" w:fill="FFFFFF"/>
        </w:rPr>
        <w:t>SPINK7 expression changes accompanied by HER2, P53 and RB1 can be relevant to predict oral squamous cell carcinoma at molecular level</w:t>
      </w:r>
    </w:p>
    <w:p w14:paraId="212550D1" w14:textId="77777777" w:rsidR="00D55975" w:rsidRPr="004C5307" w:rsidRDefault="00D55975" w:rsidP="00D55975">
      <w:pPr>
        <w:spacing w:line="360" w:lineRule="auto"/>
        <w:jc w:val="both"/>
        <w:rPr>
          <w:rFonts w:ascii="Times" w:eastAsia="Times New Roman" w:hAnsi="Times" w:cs="Times New Roman"/>
          <w:b/>
          <w:sz w:val="20"/>
          <w:szCs w:val="20"/>
        </w:rPr>
      </w:pPr>
    </w:p>
    <w:p w14:paraId="2F9A34CC" w14:textId="77777777" w:rsidR="00D55975" w:rsidRDefault="00D55975" w:rsidP="00D55975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4C5307">
        <w:rPr>
          <w:rFonts w:ascii="Arial" w:hAnsi="Arial" w:cs="Arial"/>
          <w:sz w:val="20"/>
          <w:szCs w:val="20"/>
        </w:rPr>
        <w:t xml:space="preserve">Gina </w:t>
      </w:r>
      <w:proofErr w:type="spellStart"/>
      <w:r w:rsidRPr="004C5307">
        <w:rPr>
          <w:rFonts w:ascii="Arial" w:hAnsi="Arial" w:cs="Arial"/>
          <w:sz w:val="20"/>
          <w:szCs w:val="20"/>
        </w:rPr>
        <w:t>Pennacchiotti</w:t>
      </w:r>
      <w:proofErr w:type="spellEnd"/>
      <w:r w:rsidRPr="004C5307">
        <w:rPr>
          <w:rFonts w:ascii="Arial" w:hAnsi="Arial" w:cs="Arial"/>
          <w:sz w:val="20"/>
          <w:szCs w:val="20"/>
        </w:rPr>
        <w:t>, DMD</w:t>
      </w:r>
      <w:r w:rsidRPr="004C5307">
        <w:rPr>
          <w:rFonts w:ascii="Arial" w:hAnsi="Arial" w:cs="Arial"/>
          <w:sz w:val="20"/>
          <w:szCs w:val="20"/>
          <w:vertAlign w:val="superscript"/>
        </w:rPr>
        <w:t>1,7</w:t>
      </w:r>
      <w:r w:rsidRPr="004C5307">
        <w:rPr>
          <w:rFonts w:ascii="Arial" w:hAnsi="Arial" w:cs="Arial"/>
          <w:sz w:val="20"/>
          <w:szCs w:val="20"/>
        </w:rPr>
        <w:t>; Fabio Valdés Garrido, MD</w:t>
      </w:r>
      <w:r w:rsidRPr="004C5307">
        <w:rPr>
          <w:rFonts w:ascii="Arial" w:hAnsi="Arial" w:cs="Arial"/>
          <w:sz w:val="20"/>
          <w:szCs w:val="20"/>
          <w:vertAlign w:val="superscript"/>
        </w:rPr>
        <w:t>2</w:t>
      </w:r>
      <w:r w:rsidRPr="004C5307">
        <w:rPr>
          <w:rFonts w:ascii="Arial" w:hAnsi="Arial" w:cs="Arial"/>
          <w:sz w:val="20"/>
          <w:szCs w:val="20"/>
        </w:rPr>
        <w:t>; Wilfredo A González-</w:t>
      </w:r>
      <w:proofErr w:type="spellStart"/>
      <w:r w:rsidRPr="004C5307">
        <w:rPr>
          <w:rFonts w:ascii="Arial" w:hAnsi="Arial" w:cs="Arial"/>
          <w:sz w:val="20"/>
          <w:szCs w:val="20"/>
        </w:rPr>
        <w:t>Arriagada</w:t>
      </w:r>
      <w:proofErr w:type="spellEnd"/>
      <w:r w:rsidRPr="004C5307">
        <w:rPr>
          <w:rFonts w:ascii="Arial" w:hAnsi="Arial" w:cs="Arial"/>
          <w:sz w:val="20"/>
          <w:szCs w:val="20"/>
        </w:rPr>
        <w:t>, PhD</w:t>
      </w:r>
      <w:r w:rsidRPr="004C5307">
        <w:rPr>
          <w:rFonts w:ascii="Arial" w:hAnsi="Arial" w:cs="Arial"/>
          <w:sz w:val="20"/>
          <w:szCs w:val="20"/>
          <w:vertAlign w:val="superscript"/>
        </w:rPr>
        <w:t>3</w:t>
      </w:r>
      <w:r w:rsidRPr="004C5307">
        <w:rPr>
          <w:rFonts w:ascii="Arial" w:hAnsi="Arial" w:cs="Arial"/>
          <w:sz w:val="20"/>
          <w:szCs w:val="20"/>
        </w:rPr>
        <w:t>; Héctor F Montes, MD</w:t>
      </w:r>
      <w:r w:rsidRPr="004C5307">
        <w:rPr>
          <w:rFonts w:ascii="Arial" w:hAnsi="Arial" w:cs="Arial"/>
          <w:sz w:val="20"/>
          <w:szCs w:val="20"/>
          <w:vertAlign w:val="superscript"/>
        </w:rPr>
        <w:t>4</w:t>
      </w:r>
      <w:r w:rsidRPr="004C5307">
        <w:rPr>
          <w:rFonts w:ascii="Arial" w:hAnsi="Arial" w:cs="Arial"/>
          <w:sz w:val="20"/>
          <w:szCs w:val="20"/>
        </w:rPr>
        <w:t>; Judith MR Parra, DMD</w:t>
      </w:r>
      <w:r w:rsidRPr="004C5307">
        <w:rPr>
          <w:rFonts w:ascii="Arial" w:hAnsi="Arial" w:cs="Arial"/>
          <w:sz w:val="20"/>
          <w:szCs w:val="20"/>
          <w:vertAlign w:val="superscript"/>
        </w:rPr>
        <w:t>5</w:t>
      </w:r>
      <w:r w:rsidRPr="004C5307">
        <w:rPr>
          <w:rFonts w:ascii="Arial" w:hAnsi="Arial" w:cs="Arial"/>
          <w:sz w:val="20"/>
          <w:szCs w:val="20"/>
        </w:rPr>
        <w:t xml:space="preserve">; Valeria A </w:t>
      </w:r>
      <w:proofErr w:type="spellStart"/>
      <w:r w:rsidRPr="004C5307">
        <w:rPr>
          <w:rFonts w:ascii="Arial" w:hAnsi="Arial" w:cs="Arial"/>
          <w:sz w:val="20"/>
          <w:szCs w:val="20"/>
        </w:rPr>
        <w:t>Guida</w:t>
      </w:r>
      <w:proofErr w:type="spellEnd"/>
      <w:r w:rsidRPr="004C5307">
        <w:rPr>
          <w:rFonts w:ascii="Arial" w:hAnsi="Arial" w:cs="Arial"/>
          <w:sz w:val="20"/>
          <w:szCs w:val="20"/>
        </w:rPr>
        <w:t>, DMD</w:t>
      </w:r>
      <w:r w:rsidRPr="004C5307">
        <w:rPr>
          <w:rFonts w:ascii="Arial" w:hAnsi="Arial" w:cs="Arial"/>
          <w:sz w:val="20"/>
          <w:szCs w:val="20"/>
          <w:vertAlign w:val="superscript"/>
        </w:rPr>
        <w:t>5</w:t>
      </w:r>
      <w:r w:rsidRPr="004C5307">
        <w:rPr>
          <w:rFonts w:ascii="Arial" w:hAnsi="Arial" w:cs="Arial"/>
          <w:sz w:val="20"/>
          <w:szCs w:val="20"/>
        </w:rPr>
        <w:t xml:space="preserve">; </w:t>
      </w:r>
      <w:proofErr w:type="spellStart"/>
      <w:r w:rsidRPr="004C5307">
        <w:rPr>
          <w:rFonts w:ascii="Arial" w:hAnsi="Arial" w:cs="Arial"/>
          <w:sz w:val="20"/>
          <w:szCs w:val="20"/>
        </w:rPr>
        <w:t>Silvina</w:t>
      </w:r>
      <w:proofErr w:type="spellEnd"/>
      <w:r w:rsidRPr="004C5307">
        <w:rPr>
          <w:rFonts w:ascii="Arial" w:hAnsi="Arial" w:cs="Arial"/>
          <w:sz w:val="20"/>
          <w:szCs w:val="20"/>
        </w:rPr>
        <w:t xml:space="preserve"> E Gómez, Bsc</w:t>
      </w:r>
      <w:r w:rsidRPr="004C5307">
        <w:rPr>
          <w:rFonts w:ascii="Arial" w:hAnsi="Arial" w:cs="Arial"/>
          <w:sz w:val="20"/>
          <w:szCs w:val="20"/>
          <w:vertAlign w:val="superscript"/>
        </w:rPr>
        <w:t>6</w:t>
      </w:r>
      <w:r w:rsidRPr="004C5307">
        <w:rPr>
          <w:rFonts w:ascii="Arial" w:hAnsi="Arial" w:cs="Arial"/>
          <w:sz w:val="20"/>
          <w:szCs w:val="20"/>
        </w:rPr>
        <w:t>; Martín E Guerrero-Gimenez, MD</w:t>
      </w:r>
      <w:r w:rsidRPr="004C5307">
        <w:rPr>
          <w:rFonts w:ascii="Arial" w:hAnsi="Arial" w:cs="Arial"/>
          <w:sz w:val="20"/>
          <w:szCs w:val="20"/>
          <w:vertAlign w:val="superscript"/>
        </w:rPr>
        <w:t>6</w:t>
      </w:r>
      <w:r w:rsidRPr="004C5307">
        <w:rPr>
          <w:rFonts w:ascii="Arial" w:hAnsi="Arial" w:cs="Arial"/>
          <w:sz w:val="20"/>
          <w:szCs w:val="20"/>
        </w:rPr>
        <w:t>; Juan M Fernandez-Muñoz, Bsc</w:t>
      </w:r>
      <w:r w:rsidRPr="004C5307">
        <w:rPr>
          <w:rFonts w:ascii="Arial" w:hAnsi="Arial" w:cs="Arial"/>
          <w:sz w:val="20"/>
          <w:szCs w:val="20"/>
          <w:vertAlign w:val="superscript"/>
        </w:rPr>
        <w:t>6</w:t>
      </w:r>
      <w:r w:rsidRPr="004C5307">
        <w:rPr>
          <w:rFonts w:ascii="Arial" w:hAnsi="Arial" w:cs="Arial"/>
          <w:sz w:val="20"/>
          <w:szCs w:val="20"/>
        </w:rPr>
        <w:t xml:space="preserve">; Felipe CM </w:t>
      </w:r>
      <w:proofErr w:type="spellStart"/>
      <w:r w:rsidRPr="004C5307">
        <w:rPr>
          <w:rFonts w:ascii="Arial" w:hAnsi="Arial" w:cs="Arial"/>
          <w:sz w:val="20"/>
          <w:szCs w:val="20"/>
        </w:rPr>
        <w:t>Zopino</w:t>
      </w:r>
      <w:proofErr w:type="spellEnd"/>
      <w:r w:rsidRPr="004C5307">
        <w:rPr>
          <w:rFonts w:ascii="Arial" w:hAnsi="Arial" w:cs="Arial"/>
          <w:sz w:val="20"/>
          <w:szCs w:val="20"/>
        </w:rPr>
        <w:t>, PhD</w:t>
      </w:r>
      <w:r w:rsidRPr="004C5307">
        <w:rPr>
          <w:rFonts w:ascii="Arial" w:hAnsi="Arial" w:cs="Arial"/>
          <w:sz w:val="20"/>
          <w:szCs w:val="20"/>
          <w:vertAlign w:val="superscript"/>
        </w:rPr>
        <w:t>6</w:t>
      </w:r>
      <w:r w:rsidRPr="004C5307">
        <w:rPr>
          <w:rFonts w:ascii="Arial" w:hAnsi="Arial" w:cs="Arial"/>
          <w:sz w:val="20"/>
          <w:szCs w:val="20"/>
        </w:rPr>
        <w:t xml:space="preserve">; Rubén W </w:t>
      </w:r>
      <w:proofErr w:type="spellStart"/>
      <w:r w:rsidRPr="004C5307">
        <w:rPr>
          <w:rFonts w:ascii="Arial" w:hAnsi="Arial" w:cs="Arial"/>
          <w:sz w:val="20"/>
          <w:szCs w:val="20"/>
        </w:rPr>
        <w:t>Carón</w:t>
      </w:r>
      <w:proofErr w:type="spellEnd"/>
      <w:r w:rsidRPr="004C5307">
        <w:rPr>
          <w:rFonts w:ascii="Arial" w:hAnsi="Arial" w:cs="Arial"/>
          <w:sz w:val="20"/>
          <w:szCs w:val="20"/>
        </w:rPr>
        <w:t>, PhD</w:t>
      </w:r>
      <w:r w:rsidRPr="004C5307">
        <w:rPr>
          <w:rFonts w:ascii="Arial" w:hAnsi="Arial" w:cs="Arial"/>
          <w:sz w:val="20"/>
          <w:szCs w:val="20"/>
          <w:vertAlign w:val="superscript"/>
        </w:rPr>
        <w:t>6</w:t>
      </w:r>
      <w:r w:rsidRPr="004C5307">
        <w:rPr>
          <w:rFonts w:ascii="Arial" w:hAnsi="Arial" w:cs="Arial"/>
          <w:sz w:val="20"/>
          <w:szCs w:val="20"/>
        </w:rPr>
        <w:t xml:space="preserve">; Marcelo E </w:t>
      </w:r>
      <w:proofErr w:type="spellStart"/>
      <w:r w:rsidRPr="004C5307">
        <w:rPr>
          <w:rFonts w:ascii="Arial" w:hAnsi="Arial" w:cs="Arial"/>
          <w:sz w:val="20"/>
          <w:szCs w:val="20"/>
        </w:rPr>
        <w:t>Ezquer</w:t>
      </w:r>
      <w:proofErr w:type="spellEnd"/>
      <w:r w:rsidRPr="004C5307">
        <w:rPr>
          <w:rFonts w:ascii="Arial" w:hAnsi="Arial" w:cs="Arial"/>
          <w:sz w:val="20"/>
          <w:szCs w:val="20"/>
        </w:rPr>
        <w:t>, PhD</w:t>
      </w:r>
      <w:proofErr w:type="gramStart"/>
      <w:r w:rsidRPr="004C5307">
        <w:rPr>
          <w:rFonts w:ascii="Arial" w:hAnsi="Arial" w:cs="Arial"/>
          <w:sz w:val="20"/>
          <w:szCs w:val="20"/>
          <w:vertAlign w:val="superscript"/>
        </w:rPr>
        <w:t>7</w:t>
      </w:r>
      <w:r w:rsidRPr="004C5307">
        <w:rPr>
          <w:rFonts w:ascii="Arial" w:hAnsi="Arial" w:cs="Arial"/>
          <w:sz w:val="20"/>
          <w:szCs w:val="20"/>
        </w:rPr>
        <w:t>;  Ricardo</w:t>
      </w:r>
      <w:proofErr w:type="gramEnd"/>
      <w:r w:rsidRPr="004C5307">
        <w:rPr>
          <w:rFonts w:ascii="Arial" w:hAnsi="Arial" w:cs="Arial"/>
          <w:sz w:val="20"/>
          <w:szCs w:val="20"/>
        </w:rPr>
        <w:t xml:space="preserve"> Fernández-</w:t>
      </w:r>
      <w:proofErr w:type="spellStart"/>
      <w:r w:rsidRPr="004C5307">
        <w:rPr>
          <w:rFonts w:ascii="Arial" w:hAnsi="Arial" w:cs="Arial"/>
          <w:sz w:val="20"/>
          <w:szCs w:val="20"/>
        </w:rPr>
        <w:t>Ramires</w:t>
      </w:r>
      <w:proofErr w:type="spellEnd"/>
      <w:r w:rsidRPr="004C5307">
        <w:rPr>
          <w:rFonts w:ascii="Arial" w:hAnsi="Arial" w:cs="Arial"/>
          <w:sz w:val="20"/>
          <w:szCs w:val="20"/>
        </w:rPr>
        <w:t>, PhD</w:t>
      </w:r>
      <w:r w:rsidRPr="004C5307">
        <w:rPr>
          <w:rFonts w:ascii="Arial" w:hAnsi="Arial" w:cs="Arial"/>
          <w:sz w:val="20"/>
          <w:szCs w:val="20"/>
          <w:vertAlign w:val="superscript"/>
        </w:rPr>
        <w:t>8</w:t>
      </w:r>
      <w:r w:rsidRPr="004C5307">
        <w:rPr>
          <w:rFonts w:ascii="Arial" w:hAnsi="Arial" w:cs="Arial"/>
          <w:sz w:val="20"/>
          <w:szCs w:val="20"/>
        </w:rPr>
        <w:t xml:space="preserve"> and Flavia A Bruna, PhD</w:t>
      </w:r>
      <w:r w:rsidRPr="004C5307">
        <w:rPr>
          <w:rFonts w:ascii="Arial" w:hAnsi="Arial" w:cs="Arial"/>
          <w:sz w:val="20"/>
          <w:szCs w:val="20"/>
          <w:vertAlign w:val="superscript"/>
        </w:rPr>
        <w:t>5,6,7</w:t>
      </w:r>
      <w:r w:rsidRPr="004C5307">
        <w:rPr>
          <w:rFonts w:ascii="Arial" w:hAnsi="Arial" w:cs="Arial"/>
          <w:sz w:val="20"/>
          <w:szCs w:val="20"/>
        </w:rPr>
        <w:t xml:space="preserve">. </w:t>
      </w:r>
    </w:p>
    <w:p w14:paraId="64C3BDD4" w14:textId="44565378" w:rsidR="001A5A35" w:rsidRDefault="001A5A35"/>
    <w:p w14:paraId="3ECCFA2F" w14:textId="77777777" w:rsidR="001A5A35" w:rsidRDefault="001A5A35"/>
    <w:p w14:paraId="287FA861" w14:textId="7AC1BE1E" w:rsidR="004B4D0F" w:rsidRDefault="001A5A35">
      <w:r w:rsidRPr="0086010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A77F2E" wp14:editId="6E434E29">
                <wp:simplePos x="0" y="0"/>
                <wp:positionH relativeFrom="column">
                  <wp:posOffset>0</wp:posOffset>
                </wp:positionH>
                <wp:positionV relativeFrom="paragraph">
                  <wp:posOffset>1465095</wp:posOffset>
                </wp:positionV>
                <wp:extent cx="4156133" cy="360218"/>
                <wp:effectExtent l="0" t="0" r="0" b="0"/>
                <wp:wrapNone/>
                <wp:docPr id="26690" name="TextBox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4990D8-C9BF-BA49-9C77-E7F1AF716F09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6133" cy="3602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659E1" w14:textId="77777777" w:rsidR="001A5A35" w:rsidRPr="00042FD0" w:rsidRDefault="001A5A35" w:rsidP="001A5A35">
                            <w:pPr>
                              <w:textAlignment w:val="baseline"/>
                              <w:rPr>
                                <w:sz w:val="20"/>
                                <w:szCs w:val="20"/>
                              </w:rPr>
                            </w:pPr>
                            <w:r w:rsidRPr="00042FD0">
                              <w:rPr>
                                <w:rFonts w:ascii="Calibri" w:eastAsia="MS PGothic"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Supplementary table 1. Primers data used in the qPCR analysis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A77F2E"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115.35pt;width:327.25pt;height:28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" filled="f" stroked="f">
                <v:textbox>
                  <w:txbxContent>
                    <w:p w14:paraId="547659E1" w14:textId="77777777" w:rsidR="001A5A35" w:rsidRPr="00042FD0" w:rsidRDefault="001A5A35" w:rsidP="001A5A35">
                      <w:pPr>
                        <w:textAlignment w:val="baseline"/>
                        <w:rPr>
                          <w:sz w:val="20"/>
                          <w:szCs w:val="20"/>
                        </w:rPr>
                      </w:pPr>
                      <w:r w:rsidRPr="00042FD0">
                        <w:rPr>
                          <w:rFonts w:ascii="Calibri" w:eastAsia="MS PGothic"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Supplementary table 1. Primers data used in the qPCR analysis</w:t>
                      </w:r>
                    </w:p>
                  </w:txbxContent>
                </v:textbox>
              </v:shape>
            </w:pict>
          </mc:Fallback>
        </mc:AlternateContent>
      </w:r>
      <w:r w:rsidRPr="0086010C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E6F8D66" wp14:editId="5890639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52800" cy="1346166"/>
            <wp:effectExtent l="0" t="0" r="0" b="635"/>
            <wp:wrapNone/>
            <wp:docPr id="2" name="table">
              <a:extLst xmlns:a="http://schemas.openxmlformats.org/drawingml/2006/main">
                <a:ext uri="{FF2B5EF4-FFF2-40B4-BE49-F238E27FC236}">
                  <a16:creationId xmlns:a16="http://schemas.microsoft.com/office/drawing/2014/main" id="{9414625A-AA7C-094E-98E8-CC68B07B00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>
                      <a:extLst>
                        <a:ext uri="{FF2B5EF4-FFF2-40B4-BE49-F238E27FC236}">
                          <a16:creationId xmlns:a16="http://schemas.microsoft.com/office/drawing/2014/main" id="{9414625A-AA7C-094E-98E8-CC68B07B001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52800" cy="13461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B4D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"/>
    <w:panose1 w:val="00000500000000020000"/>
    <w:charset w:val="00"/>
    <w:family w:val="auto"/>
    <w:pitch w:val="variable"/>
    <w:sig w:usb0="E0002EFF" w:usb1="D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A35"/>
    <w:rsid w:val="00042EAE"/>
    <w:rsid w:val="001A5A35"/>
    <w:rsid w:val="001C1FC0"/>
    <w:rsid w:val="00483634"/>
    <w:rsid w:val="004B4D0F"/>
    <w:rsid w:val="00501C10"/>
    <w:rsid w:val="00536166"/>
    <w:rsid w:val="00546467"/>
    <w:rsid w:val="00564BA4"/>
    <w:rsid w:val="008A044A"/>
    <w:rsid w:val="008A3BFE"/>
    <w:rsid w:val="00A128EF"/>
    <w:rsid w:val="00B34470"/>
    <w:rsid w:val="00D55975"/>
    <w:rsid w:val="00F60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CA600B"/>
  <w15:chartTrackingRefBased/>
  <w15:docId w15:val="{9CE80F98-52DE-5740-88A0-1C5592B01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A35"/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2020-11-24T14:52:00Z</dcterms:created>
  <dcterms:modified xsi:type="dcterms:W3CDTF">2020-11-24T15:28:00Z</dcterms:modified>
</cp:coreProperties>
</file>