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835"/>
        <w:tblW w:w="9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8063"/>
        <w:gridCol w:w="1240"/>
      </w:tblGrid>
      <w:tr w:rsidR="00744103" w:rsidRPr="00F5278A" w:rsidTr="00D516CF">
        <w:tc>
          <w:tcPr>
            <w:tcW w:w="9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Pr="00F5278A" w:rsidRDefault="000C614E" w:rsidP="00D516CF">
            <w:pPr>
              <w:widowControl w:val="0"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0C614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Additional file </w:t>
            </w:r>
            <w:r w:rsidR="00C6600A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1</w:t>
            </w:r>
            <w:r w:rsidR="00744103" w:rsidRPr="00F5278A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:</w:t>
            </w:r>
            <w:r w:rsidR="00744103" w:rsidRPr="00F5278A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 Complete search strategy for PubMed databases</w:t>
            </w:r>
          </w:p>
        </w:tc>
      </w:tr>
      <w:tr w:rsidR="00744103" w:rsidRPr="00F5278A" w:rsidTr="00D516CF">
        <w:trPr>
          <w:trHeight w:val="2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Pr="00F5278A" w:rsidRDefault="00744103" w:rsidP="00D516CF">
            <w:pPr>
              <w:widowControl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5278A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Set</w:t>
            </w:r>
          </w:p>
        </w:tc>
        <w:tc>
          <w:tcPr>
            <w:tcW w:w="8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Pr="00F5278A" w:rsidRDefault="00744103" w:rsidP="00D516CF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5278A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Strategy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Pr="00F5278A" w:rsidRDefault="00744103" w:rsidP="00D516CF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F5278A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Results</w:t>
            </w:r>
          </w:p>
        </w:tc>
      </w:tr>
      <w:tr w:rsidR="00744103" w:rsidRPr="00F5278A" w:rsidTr="00D516CF">
        <w:trPr>
          <w:trHeight w:val="733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Pr="00F5278A" w:rsidRDefault="00744103" w:rsidP="00D516CF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F5278A">
              <w:rPr>
                <w:rFonts w:asciiTheme="majorBidi" w:eastAsia="Times New Roman" w:hAnsiTheme="majorBidi" w:cstheme="majorBidi"/>
                <w:bCs/>
                <w:color w:val="000000"/>
              </w:rPr>
              <w:t>#1</w:t>
            </w:r>
          </w:p>
        </w:tc>
        <w:tc>
          <w:tcPr>
            <w:tcW w:w="8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Pr="00F5278A" w:rsidRDefault="00C6600A" w:rsidP="00D516CF">
            <w:pPr>
              <w:widowControl w:val="0"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6600A">
              <w:rPr>
                <w:rFonts w:asciiTheme="majorBidi" w:eastAsia="Calibri" w:hAnsiTheme="majorBidi" w:cstheme="majorBidi"/>
                <w:bCs/>
                <w:color w:val="000000"/>
                <w:shd w:val="clear" w:color="auto" w:fill="FFFFFF"/>
              </w:rPr>
              <w:t>((waiting list[Title/Abstract]) OR (priority list[Title/Abstract])) OR (priority setting[Title/Abstract])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Pr="00F5278A" w:rsidRDefault="00C6600A" w:rsidP="00D516CF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11683</w:t>
            </w:r>
          </w:p>
        </w:tc>
      </w:tr>
      <w:tr w:rsidR="00744103" w:rsidRPr="00F5278A" w:rsidTr="00D516CF">
        <w:trPr>
          <w:trHeight w:val="321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Pr="00F5278A" w:rsidRDefault="00744103" w:rsidP="00D516CF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F5278A">
              <w:rPr>
                <w:rFonts w:asciiTheme="majorBidi" w:eastAsia="Times New Roman" w:hAnsiTheme="majorBidi" w:cstheme="majorBidi"/>
                <w:bCs/>
                <w:color w:val="000000"/>
              </w:rPr>
              <w:t>#2</w:t>
            </w:r>
          </w:p>
        </w:tc>
        <w:tc>
          <w:tcPr>
            <w:tcW w:w="8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Pr="00F5278A" w:rsidRDefault="00C6600A" w:rsidP="00D516CF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6600A">
              <w:rPr>
                <w:rFonts w:asciiTheme="majorBidi" w:eastAsia="Times New Roman" w:hAnsiTheme="majorBidi" w:cstheme="majorBidi"/>
                <w:bCs/>
                <w:color w:val="000000"/>
              </w:rPr>
              <w:t>(effecting factor*[Title/Abstract]) OR (factor*[Title/Abstract])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Pr="00F5278A" w:rsidRDefault="00C6600A" w:rsidP="00D516CF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6600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3,491,340</w:t>
            </w:r>
          </w:p>
        </w:tc>
      </w:tr>
      <w:tr w:rsidR="00C6600A" w:rsidRPr="00F5278A" w:rsidTr="00D516CF">
        <w:trPr>
          <w:trHeight w:val="321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00A" w:rsidRPr="00F5278A" w:rsidRDefault="00C6600A" w:rsidP="00D516CF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F5278A">
              <w:rPr>
                <w:rFonts w:asciiTheme="majorBidi" w:eastAsia="Times New Roman" w:hAnsiTheme="majorBidi" w:cstheme="majorBidi"/>
                <w:bCs/>
                <w:color w:val="000000"/>
              </w:rPr>
              <w:t>#3</w:t>
            </w:r>
          </w:p>
        </w:tc>
        <w:tc>
          <w:tcPr>
            <w:tcW w:w="8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00A" w:rsidRPr="00C6600A" w:rsidRDefault="00C6600A" w:rsidP="00D516CF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6600A">
              <w:rPr>
                <w:rFonts w:asciiTheme="majorBidi" w:eastAsia="Times New Roman" w:hAnsiTheme="majorBidi" w:cstheme="majorBidi"/>
                <w:bCs/>
                <w:color w:val="000000"/>
              </w:rPr>
              <w:t>((volunteer patient[Title/Abstract]) OR (elective surgery[Title/Abstract])) OR (none-emergency surgery[Title/Abstract])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600A" w:rsidRPr="00F5278A" w:rsidRDefault="00C6600A" w:rsidP="00D516CF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6600A">
              <w:rPr>
                <w:rFonts w:asciiTheme="majorBidi" w:eastAsia="Times New Roman" w:hAnsiTheme="majorBidi" w:cs="Times New Roman"/>
                <w:color w:val="000000"/>
                <w:sz w:val="24"/>
                <w:szCs w:val="24"/>
                <w:rtl/>
              </w:rPr>
              <w:t>1,258,817</w:t>
            </w:r>
          </w:p>
        </w:tc>
      </w:tr>
      <w:tr w:rsidR="00744103" w:rsidRPr="00F5278A" w:rsidTr="00D516CF">
        <w:trPr>
          <w:trHeight w:val="116"/>
        </w:trPr>
        <w:tc>
          <w:tcPr>
            <w:tcW w:w="5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Pr="00F5278A" w:rsidRDefault="00C6600A" w:rsidP="00D516CF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</w:rPr>
              <w:t>#4</w:t>
            </w:r>
          </w:p>
        </w:tc>
        <w:tc>
          <w:tcPr>
            <w:tcW w:w="806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Default="00744103" w:rsidP="00D516CF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F5278A">
              <w:rPr>
                <w:rFonts w:asciiTheme="majorBidi" w:eastAsia="Times New Roman" w:hAnsiTheme="majorBidi" w:cstheme="majorBidi"/>
                <w:bCs/>
                <w:color w:val="000000"/>
              </w:rPr>
              <w:t>#1 AND #2</w:t>
            </w:r>
            <w:r w:rsidR="00C6600A">
              <w:rPr>
                <w:rFonts w:asciiTheme="majorBidi" w:eastAsia="Times New Roman" w:hAnsiTheme="majorBidi" w:cstheme="majorBidi"/>
                <w:bCs/>
                <w:color w:val="000000"/>
              </w:rPr>
              <w:t xml:space="preserve"> AND #3</w:t>
            </w:r>
          </w:p>
          <w:p w:rsidR="00C6600A" w:rsidRPr="00F5278A" w:rsidRDefault="00C6600A" w:rsidP="00D516CF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6600A">
              <w:rPr>
                <w:rFonts w:asciiTheme="majorBidi" w:eastAsia="Times New Roman" w:hAnsiTheme="majorBidi" w:cstheme="majorBidi"/>
                <w:bCs/>
                <w:color w:val="000000"/>
              </w:rPr>
              <w:t>((((waiting list[Title/Abstract]) OR (priority list[Title/Abstract])) OR (priority setting[Title/Abstract])) AND (((volunteer patient[Title/Abstract]) OR (elective surgery[Title/Abstract])) OR (none-emergency surgery[Title/Abstract]))) AND ((effecting factor*[Title/Abstract]) OR (factor*[Title/Abstract]))</w:t>
            </w:r>
          </w:p>
        </w:tc>
        <w:tc>
          <w:tcPr>
            <w:tcW w:w="124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Pr="00F5278A" w:rsidRDefault="00C6600A" w:rsidP="00D516CF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171</w:t>
            </w:r>
            <w:r w:rsidR="00744103" w:rsidRPr="00F5278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*</w:t>
            </w:r>
          </w:p>
        </w:tc>
      </w:tr>
      <w:tr w:rsidR="00744103" w:rsidRPr="00F5278A" w:rsidTr="00D516CF">
        <w:trPr>
          <w:trHeight w:val="92"/>
        </w:trPr>
        <w:tc>
          <w:tcPr>
            <w:tcW w:w="98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4103" w:rsidRPr="00F5278A" w:rsidRDefault="00744103" w:rsidP="00D516CF">
            <w:pPr>
              <w:shd w:val="clear" w:color="auto" w:fill="FFFFFF"/>
              <w:spacing w:after="0" w:line="240" w:lineRule="auto"/>
              <w:jc w:val="right"/>
              <w:outlineLvl w:val="2"/>
              <w:rPr>
                <w:rFonts w:asciiTheme="majorBidi" w:eastAsia="Times New Roman" w:hAnsiTheme="majorBidi" w:cstheme="majorBidi"/>
                <w:b/>
                <w:bCs/>
                <w:color w:val="724128"/>
                <w:sz w:val="24"/>
                <w:szCs w:val="24"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  <w:color w:val="724128"/>
                <w:sz w:val="24"/>
                <w:szCs w:val="24"/>
              </w:rPr>
              <w:t>*</w:t>
            </w:r>
            <w:r w:rsidRPr="00F5278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Filt</w:t>
            </w:r>
            <w:r w:rsidR="00C6600A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ers activated: English</w:t>
            </w:r>
          </w:p>
        </w:tc>
      </w:tr>
    </w:tbl>
    <w:p w:rsidR="00D516CF" w:rsidRDefault="00D516CF" w:rsidP="00D516CF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Developing a </w:t>
      </w:r>
      <w:r w:rsidR="00C95C71">
        <w:rPr>
          <w:rFonts w:asciiTheme="majorBidi" w:hAnsiTheme="majorBidi" w:cstheme="majorBidi"/>
          <w:b/>
          <w:bCs/>
          <w:sz w:val="28"/>
          <w:szCs w:val="28"/>
        </w:rPr>
        <w:t>prioritization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 framework for patients in need of Coronary Artery Angiography</w:t>
      </w:r>
    </w:p>
    <w:p w:rsidR="00744103" w:rsidRDefault="00D516CF" w:rsidP="00C95C71">
      <w:pPr>
        <w:bidi w:val="0"/>
        <w:spacing w:line="240" w:lineRule="auto"/>
        <w:jc w:val="both"/>
      </w:pPr>
      <w:r>
        <w:rPr>
          <w:rFonts w:asciiTheme="majorBidi" w:hAnsiTheme="majorBidi" w:cstheme="majorBidi"/>
          <w:sz w:val="24"/>
          <w:szCs w:val="24"/>
        </w:rPr>
        <w:t xml:space="preserve">Leila </w:t>
      </w:r>
      <w:proofErr w:type="spellStart"/>
      <w:r>
        <w:rPr>
          <w:rFonts w:asciiTheme="majorBidi" w:hAnsiTheme="majorBidi" w:cstheme="majorBidi"/>
          <w:sz w:val="24"/>
          <w:szCs w:val="24"/>
        </w:rPr>
        <w:t>Doshmangir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Faramarz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Pourasghar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Rahim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Sharghi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Ramin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Rezapour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Vladimir </w:t>
      </w:r>
      <w:proofErr w:type="spellStart"/>
      <w:r>
        <w:rPr>
          <w:rFonts w:asciiTheme="majorBidi" w:hAnsiTheme="majorBidi" w:cstheme="majorBidi"/>
          <w:sz w:val="24"/>
          <w:szCs w:val="24"/>
        </w:rPr>
        <w:t>Sergeevich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Gordeev</w:t>
      </w:r>
    </w:p>
    <w:p w:rsidR="00744103" w:rsidRDefault="00744103"/>
    <w:p w:rsidR="00744103" w:rsidRDefault="00744103"/>
    <w:p w:rsidR="00744103" w:rsidRDefault="00744103"/>
    <w:p w:rsidR="00744103" w:rsidRDefault="00744103"/>
    <w:p w:rsidR="00744103" w:rsidRDefault="00744103"/>
    <w:p w:rsidR="00744103" w:rsidRDefault="00744103">
      <w:pPr>
        <w:rPr>
          <w:rtl/>
        </w:rPr>
        <w:sectPr w:rsidR="00744103" w:rsidSect="007441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53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720"/>
        <w:gridCol w:w="720"/>
        <w:gridCol w:w="630"/>
        <w:gridCol w:w="630"/>
        <w:gridCol w:w="63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630"/>
        <w:gridCol w:w="720"/>
        <w:gridCol w:w="900"/>
      </w:tblGrid>
      <w:tr w:rsidR="008E6A56" w:rsidRPr="00F5278A" w:rsidTr="00346A92">
        <w:trPr>
          <w:trHeight w:val="440"/>
        </w:trPr>
        <w:tc>
          <w:tcPr>
            <w:tcW w:w="15300" w:type="dxa"/>
            <w:gridSpan w:val="20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Table2.</w:t>
            </w:r>
            <w:r w:rsidRPr="00F5278A">
              <w:rPr>
                <w:rFonts w:asciiTheme="majorBidi" w:hAnsiTheme="majorBidi" w:cstheme="majorBidi"/>
                <w:sz w:val="24"/>
                <w:szCs w:val="24"/>
              </w:rPr>
              <w:t xml:space="preserve"> Characteristics of the included studies in Service Quality</w:t>
            </w:r>
          </w:p>
        </w:tc>
      </w:tr>
      <w:tr w:rsidR="008E6A56" w:rsidRPr="00F5278A" w:rsidTr="00346A92">
        <w:trPr>
          <w:trHeight w:val="440"/>
        </w:trPr>
        <w:tc>
          <w:tcPr>
            <w:tcW w:w="135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Author: year</w:t>
            </w:r>
          </w:p>
        </w:tc>
        <w:tc>
          <w:tcPr>
            <w:tcW w:w="117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Ward/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t>Disease type</w:t>
            </w:r>
          </w:p>
        </w:tc>
        <w:tc>
          <w:tcPr>
            <w:tcW w:w="72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Sample size</w:t>
            </w:r>
          </w:p>
        </w:tc>
        <w:tc>
          <w:tcPr>
            <w:tcW w:w="72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D1</w:t>
            </w:r>
          </w:p>
        </w:tc>
        <w:tc>
          <w:tcPr>
            <w:tcW w:w="63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D2</w:t>
            </w:r>
          </w:p>
        </w:tc>
        <w:tc>
          <w:tcPr>
            <w:tcW w:w="63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D3</w:t>
            </w:r>
          </w:p>
        </w:tc>
        <w:tc>
          <w:tcPr>
            <w:tcW w:w="63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D4</w:t>
            </w:r>
          </w:p>
        </w:tc>
        <w:tc>
          <w:tcPr>
            <w:tcW w:w="63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D5</w:t>
            </w:r>
          </w:p>
        </w:tc>
        <w:tc>
          <w:tcPr>
            <w:tcW w:w="72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D6</w:t>
            </w:r>
          </w:p>
        </w:tc>
        <w:tc>
          <w:tcPr>
            <w:tcW w:w="72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D7</w:t>
            </w:r>
          </w:p>
        </w:tc>
        <w:tc>
          <w:tcPr>
            <w:tcW w:w="72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D8</w:t>
            </w:r>
          </w:p>
        </w:tc>
        <w:tc>
          <w:tcPr>
            <w:tcW w:w="72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D9</w:t>
            </w:r>
          </w:p>
        </w:tc>
        <w:tc>
          <w:tcPr>
            <w:tcW w:w="72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D10</w:t>
            </w:r>
          </w:p>
        </w:tc>
        <w:tc>
          <w:tcPr>
            <w:tcW w:w="72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D11</w:t>
            </w:r>
          </w:p>
        </w:tc>
        <w:tc>
          <w:tcPr>
            <w:tcW w:w="72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D12</w:t>
            </w:r>
          </w:p>
        </w:tc>
        <w:tc>
          <w:tcPr>
            <w:tcW w:w="72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Total</w:t>
            </w:r>
          </w:p>
        </w:tc>
        <w:tc>
          <w:tcPr>
            <w:tcW w:w="1440" w:type="dxa"/>
            <w:gridSpan w:val="2"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sex</w:t>
            </w:r>
          </w:p>
        </w:tc>
        <w:tc>
          <w:tcPr>
            <w:tcW w:w="1620" w:type="dxa"/>
            <w:gridSpan w:val="2"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Disease control</w:t>
            </w:r>
          </w:p>
        </w:tc>
      </w:tr>
      <w:tr w:rsidR="008E6A56" w:rsidRPr="00F5278A" w:rsidTr="00346A92">
        <w:trPr>
          <w:trHeight w:val="170"/>
        </w:trPr>
        <w:tc>
          <w:tcPr>
            <w:tcW w:w="135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630" w:type="dxa"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720" w:type="dxa"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Poor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well</w:t>
            </w:r>
          </w:p>
        </w:tc>
      </w:tr>
      <w:tr w:rsidR="008E6A56" w:rsidRPr="00F5278A" w:rsidTr="00346A92">
        <w:tc>
          <w:tcPr>
            <w:tcW w:w="1350" w:type="dxa"/>
            <w:vAlign w:val="center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Tabrizi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JS, et al, 2015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&lt;EndNote&gt;&lt;Cite&gt;&lt;Author&gt;Tabrizi&lt;/Author&gt;&lt;Year&gt;2015&lt;/Year&gt;&lt;RecNum&gt;2&lt;/RecNum&gt;&lt;DisplayText&gt;&lt;style face="superscript"&gt;27&lt;/style&gt;&lt;/DisplayText&gt;&lt;record&gt;&lt;rec-number&gt;2&lt;/rec-number&gt;&lt;foreign-keys&gt;&lt;key app="EN" db-id="s52vaf50ee0xsoeva5dppf0et0pzwtp55ffx" timestamp="1582199746"&gt;2&lt;/key&gt;&lt;/foreign-keys&gt;&lt;ref-type name="Journal Article"&gt;17&lt;/ref-type&gt;&lt;contributors&gt;&lt;authors&gt;&lt;author&gt;Tabrizi, Jafar Sadegh&lt;/author&gt;&lt;author&gt;Vahidi, Rezaghli&lt;/author&gt;&lt;author&gt;Kalantari, Hadi&lt;/author&gt;&lt;author&gt;Ala, Alireza&lt;/author&gt;&lt;author&gt;Pouraghayee, Mahboub&lt;/author&gt;&lt;author&gt;Asghari-Jafarabadi, Mohammad&lt;/author&gt;&lt;author&gt;Gholipoor, Kamal&lt;/author&gt;&lt;/authors&gt;&lt;/contributors&gt;&lt;titles&gt;&lt;title&gt;Assessing Delivered Services Quality in Emergency Department of Imam Reza Hospital, Tabriz, Iran&amp;amp;58; 2011&lt;/title&gt;&lt;secondary-title&gt;Taṣvīr-i salāmat&lt;/secondary-title&gt;&lt;/titles&gt;&lt;periodical&gt;&lt;full-title&gt;Taṣvīr-i salāmat&lt;/full-title&gt;&lt;/periodical&gt;&lt;pages&gt;25-30&lt;/pages&gt;&lt;volume&gt;6&lt;/volume&gt;&lt;number&gt;1&lt;/number&gt;&lt;dates&gt;&lt;year&gt;2015&lt;/year&gt;&lt;/dates&gt;&lt;isbn&gt;2008-9058&lt;/isbn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27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Emergency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*8.84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(1.38)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8.8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(1.52)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8.84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(1.38)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6.00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(0.00)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8.89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(1.13)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9.71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(0.83)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9.58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(0.77)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6.52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(0.58)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9.58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(0.77)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9.62 (1.10)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9.74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(0.82)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8.77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(0.66)</w:t>
            </w:r>
          </w:p>
        </w:tc>
        <w:tc>
          <w:tcPr>
            <w:tcW w:w="81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8.76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(0.65)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8.77</w:t>
            </w:r>
          </w:p>
          <w:p w:rsidR="008E6A56" w:rsidRPr="00F5278A" w:rsidRDefault="008E6A56" w:rsidP="00346A92">
            <w:pPr>
              <w:ind w:left="-198" w:firstLine="19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(0.68)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8E6A56" w:rsidRPr="00F5278A" w:rsidTr="00346A92">
        <w:tc>
          <w:tcPr>
            <w:tcW w:w="1350" w:type="dxa"/>
            <w:vAlign w:val="center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Somi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, M-H, et al, 2015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&lt;EndNote&gt;&lt;Cite&gt;&lt;Author&gt;Somi&lt;/Author&gt;&lt;Year&gt;2015&lt;/Year&gt;&lt;RecNum&gt;3&lt;/RecNum&gt;&lt;DisplayText&gt;&lt;style face="superscript"&gt;28&lt;/style&gt;&lt;/DisplayText&gt;&lt;record&gt;&lt;rec-number&gt;3&lt;/rec-number&gt;&lt;foreign-keys&gt;&lt;key app="EN" db-id="s52vaf50ee0xsoeva5dppf0et0pzwtp55ffx" timestamp="1582199746"&gt;3&lt;/key&gt;&lt;/foreign-keys&gt;&lt;ref-type name="Journal Article"&gt;17&lt;/ref-type&gt;&lt;contributors&gt;&lt;authors&gt;&lt;author&gt;Somi, Mohammad-Hossein&lt;/author&gt;&lt;author&gt;Tabrizi, Jafar Sadegh&lt;/author&gt;&lt;author&gt;Gholipour, Kamal&lt;/author&gt;&lt;author&gt;Iezadi, Shabnam&lt;/author&gt;&lt;author&gt;Shokri, Azad&lt;/author&gt;&lt;author&gt;Nasiri, Sina&lt;/author&gt;&lt;/authors&gt;&lt;/contributors&gt;&lt;titles&gt;&lt;title&gt;Patient’s perception and expectation of service quality in an endoscopic ward&lt;/title&gt;&lt;secondary-title&gt;Journal of Clinical Research &amp;amp; Governance&lt;/secondary-title&gt;&lt;/titles&gt;&lt;periodical&gt;&lt;full-title&gt;Journal of Clinical Research &amp;amp; Governance&lt;/full-title&gt;&lt;/periodical&gt;&lt;volume&gt;4&lt;/volume&gt;&lt;number&gt;2&lt;/number&gt;&lt;dates&gt;&lt;year&gt;2015&lt;/year&gt;&lt;/dates&gt;&lt;urls&gt;&lt;/urls&gt;&lt;/record&gt;&lt;/Cite&gt;&lt;/EndNote&gt;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28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Endoscopic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172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9.25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(1.63)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7.01(2.96)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7.80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(2.90)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6.06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(3.41)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8.50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(1.97)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9.60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(1.46)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7.57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(2.92)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6.60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(2.52)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7.49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(3.24)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6..15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(4.07)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6.65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(2.83)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8.83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(2.91)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7.53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(1.31)</w:t>
            </w:r>
          </w:p>
        </w:tc>
        <w:tc>
          <w:tcPr>
            <w:tcW w:w="81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8E6A56" w:rsidRPr="00F5278A" w:rsidTr="00346A92">
        <w:tc>
          <w:tcPr>
            <w:tcW w:w="1350" w:type="dxa"/>
            <w:vAlign w:val="center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Tabrizi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JS, et al, 2014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&lt;EndNote&gt;&lt;Cite&gt;&lt;Author&gt;Tabrizi&lt;/Author&gt;&lt;Year&gt;2014&lt;/Year&gt;&lt;RecNum&gt;4&lt;/RecNum&gt;&lt;DisplayText&gt;&lt;style face="superscript"&gt;21&lt;/style&gt;&lt;/DisplayText&gt;&lt;record&gt;&lt;rec-number&gt;4&lt;/rec-number&gt;&lt;foreign-keys&gt;&lt;key app="EN" db-id="s52vaf50ee0xsoeva5dppf0et0pzwtp55ffx" timestamp="1582199746"&gt;4&lt;/key&gt;&lt;/foreign-keys&gt;&lt;ref-type name="Journal Article"&gt;17&lt;/ref-type&gt;&lt;contributors&gt;&lt;authors&gt;&lt;author&gt;Tabrizi, Jafar-Sadegh&lt;/author&gt;&lt;author&gt;Ghojazadeh, Morteza&lt;/author&gt;&lt;author&gt;Azami-Aghdash, Saber&lt;/author&gt;&lt;author&gt;Daemi, Amin&lt;/author&gt;&lt;author&gt;Hassanzadeh, Roya&lt;/author&gt;&lt;/authors&gt;&lt;/contributors&gt;&lt;titles&gt;&lt;title&gt;Quality of angiography services as perceived by the cardiovascular diseases patient&lt;/title&gt;&lt;secondary-title&gt;International Journal of Hospital Research&lt;/secondary-title&gt;&lt;/titles&gt;&lt;periodical&gt;&lt;full-title&gt;International Journal of Hospital Research&lt;/full-title&gt;&lt;/periodical&gt;&lt;pages&gt;167-172&lt;/pages&gt;&lt;volume&gt;3&lt;/volume&gt;&lt;number&gt;4&lt;/number&gt;&lt;dates&gt;&lt;year&gt;2014&lt;/year&gt;&lt;/dates&gt;&lt;isbn&gt;2251-8940&lt;/isbn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21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Cardiovascular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203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7.66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8.43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8.10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9.52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6.20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7.75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6.87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7.84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5.07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3.91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5.37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7.33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7.00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(1.59)</w:t>
            </w:r>
          </w:p>
        </w:tc>
        <w:tc>
          <w:tcPr>
            <w:tcW w:w="81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8E6A56" w:rsidRPr="00F5278A" w:rsidTr="00346A92">
        <w:tc>
          <w:tcPr>
            <w:tcW w:w="1350" w:type="dxa"/>
            <w:vAlign w:val="center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Karimi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, S, et al, 2013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&lt;EndNote&gt;&lt;Cite&gt;&lt;Author&gt;Karimi&lt;/Author&gt;&lt;Year&gt;2013&lt;/Year&gt;&lt;RecNum&gt;5&lt;/RecNum&gt;&lt;DisplayText&gt;&lt;style face="superscript"&gt;29&lt;/style&gt;&lt;/DisplayText&gt;&lt;record&gt;&lt;rec-number&gt;5&lt;/rec-number&gt;&lt;foreign-keys&gt;&lt;key app="EN" db-id="s52vaf50ee0xsoeva5dppf0et0pzwtp55ffx" timestamp="1582199746"&gt;5&lt;/key&gt;&lt;/foreign-keys&gt;&lt;ref-type name="Journal Article"&gt;17&lt;/ref-type&gt;&lt;contributors&gt;&lt;authors&gt;&lt;author&gt;Karimi, Saeed&lt;/author&gt;&lt;author&gt;Mottaghi, Payman&lt;/author&gt;&lt;author&gt;Shokri, Azad&lt;/author&gt;&lt;author&gt;Yarmohammadian, Mohammad H&lt;/author&gt;&lt;author&gt;Tabrizi, Jafar-Sadegh&lt;/author&gt;&lt;author&gt;Gholipour, Kamal&lt;/author&gt;&lt;author&gt;Kordi, Ayan&lt;/author&gt;&lt;/authors&gt;&lt;/contributors&gt;&lt;titles&gt;&lt;title&gt;Service quality for people with rheumatoid arthritis: Iranian patients&amp;apos; perspective&lt;/title&gt;&lt;secondary-title&gt;International Journal of Health System and Disaster Management&lt;/secondary-title&gt;&lt;/titles&gt;&lt;periodical&gt;&lt;full-title&gt;International Journal of Health System and Disaster Management&lt;/full-title&gt;&lt;/periodical&gt;&lt;pages&gt;243&lt;/pages&gt;&lt;volume&gt;1&lt;/volume&gt;&lt;number&gt;4&lt;/number&gt;&lt;dates&gt;&lt;year&gt;2013&lt;/year&gt;&lt;/dates&gt;&lt;isbn&gt;2347-9019&lt;/isbn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29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Rheumatoid arthritis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172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9.37 (1.63)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8.28 (1.83)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8.42 (1.75)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3.11 (3.20)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8.63 (1.47)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7.78 (2.17)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8.88 (1.50)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7.82 (2.10)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7.94 (2.31)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7.29 (2.60)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8.86 (1.98)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9.77 (0.99)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7.91 (0.87)</w:t>
            </w:r>
          </w:p>
        </w:tc>
        <w:tc>
          <w:tcPr>
            <w:tcW w:w="81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7.77 (0.90)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7.94 (0.87)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7.66 (0.77)</w:t>
            </w:r>
          </w:p>
        </w:tc>
        <w:tc>
          <w:tcPr>
            <w:tcW w:w="90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8.00 (0.90)</w:t>
            </w:r>
          </w:p>
        </w:tc>
      </w:tr>
      <w:tr w:rsidR="008E6A56" w:rsidRPr="00F5278A" w:rsidTr="00346A92">
        <w:tc>
          <w:tcPr>
            <w:tcW w:w="1350" w:type="dxa"/>
            <w:vAlign w:val="center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Tabrizi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JS, et al, 2014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&lt;EndNote&gt;&lt;Cite&gt;&lt;Author&gt;Tabrizi&lt;/Author&gt;&lt;Year&gt;2014&lt;/Year&gt;&lt;RecNum&gt;6&lt;/RecNum&gt;&lt;DisplayText&gt;&lt;style face="superscript"&gt;30&lt;/style&gt;&lt;/DisplayText&gt;&lt;record&gt;&lt;rec-number&gt;6&lt;/rec-number&gt;&lt;foreign-keys&gt;&lt;key app="EN" db-id="s52vaf50ee0xsoeva5dppf0et0pzwtp55ffx" timestamp="1582199746"&gt;6&lt;/key&gt;&lt;/foreign-keys&gt;&lt;ref-type name="Journal Article"&gt;17&lt;/ref-type&gt;&lt;contributors&gt;&lt;authors&gt;&lt;author&gt;Tabrizi, JafarSadegh&lt;/author&gt;&lt;author&gt;Alidoost, Saeide&lt;/author&gt;&lt;author&gt;Bahrami, Amir&lt;/author&gt;&lt;author&gt;Farahbakhsh, Mostafa&lt;/author&gt;&lt;author&gt;Jafarabadi, Mohamad Asghari&lt;/author&gt;&lt;/authors&gt;&lt;/contributors&gt;&lt;titles&gt;&lt;title&gt;Service Quality for People with Type 2 Diabetes in Tabriz, Iran: The Patients&amp;apos; Perspective&lt;/title&gt;&lt;secondary-title&gt;Journal of Clinical Research &amp;amp; Governance&lt;/secondary-title&gt;&lt;/titles&gt;&lt;periodical&gt;&lt;full-title&gt;Journal of Clinical Research &amp;amp; Governance&lt;/full-title&gt;&lt;/periodical&gt;&lt;pages&gt;105-109&lt;/pages&gt;&lt;volume&gt;3&lt;/volume&gt;&lt;dates&gt;&lt;year&gt;2014&lt;/year&gt;&lt;/dates&gt;&lt;urls&gt;&lt;/urls&gt;&lt;/record&gt;&lt;/Cite&gt;&lt;/EndNote&gt;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30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Type 2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Diabetes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180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7.9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8.2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7.26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9.3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8.44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8.2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8.93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7.87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7.45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7.95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8.8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7.34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color w:val="auto"/>
                <w:sz w:val="20"/>
                <w:szCs w:val="20"/>
              </w:rPr>
              <w:t>8.17</w:t>
            </w:r>
          </w:p>
          <w:p w:rsidR="008E6A56" w:rsidRPr="00F5278A" w:rsidRDefault="008E6A56" w:rsidP="00346A9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color w:val="auto"/>
                <w:sz w:val="20"/>
                <w:szCs w:val="20"/>
              </w:rPr>
              <w:t>(0.64)</w:t>
            </w:r>
          </w:p>
        </w:tc>
        <w:tc>
          <w:tcPr>
            <w:tcW w:w="81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8.38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(0.64)</w:t>
            </w:r>
          </w:p>
        </w:tc>
        <w:tc>
          <w:tcPr>
            <w:tcW w:w="90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8.36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(0.64)</w:t>
            </w:r>
          </w:p>
        </w:tc>
      </w:tr>
      <w:tr w:rsidR="008E6A56" w:rsidRPr="00F5278A" w:rsidTr="00346A92">
        <w:tc>
          <w:tcPr>
            <w:tcW w:w="1350" w:type="dxa"/>
            <w:vAlign w:val="center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Gholipour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K, et al, 2018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&lt;EndNote&gt;&lt;Cite&gt;&lt;Author&gt;Gholipour&lt;/Author&gt;&lt;Year&gt;2018&lt;/Year&gt;&lt;RecNum&gt;7&lt;/RecNum&gt;&lt;DisplayText&gt;&lt;style face="superscript"&gt;31&lt;/style&gt;&lt;/DisplayText&gt;&lt;record&gt;&lt;rec-number&gt;7&lt;/rec-number&gt;&lt;foreign-keys&gt;&lt;key app="EN" db-id="s52vaf50ee0xsoeva5dppf0et0pzwtp55ffx" timestamp="1582199746"&gt;7&lt;/key&gt;&lt;/foreign-keys&gt;&lt;ref-type name="Journal Article"&gt;17&lt;/ref-type&gt;&lt;contributors&gt;&lt;authors&gt;&lt;author&gt;Gholipour, K.&lt;/author&gt;&lt;author&gt;Tabrizi, J. S.&lt;/author&gt;&lt;author&gt;Azimzadeh, S.&lt;/author&gt;&lt;author&gt;Ghafari, S.&lt;/author&gt;&lt;author&gt;Iezadi, S.&lt;/author&gt;&lt;/authors&gt;&lt;/contributors&gt;&lt;auth-address&gt;Tabriz Health Services Management Research Center, Tabriz University of Medical Sciences, Tabriz, Iran. kqolipour@gmail.com.&lt;/auth-address&gt;&lt;titles&gt;&lt;title&gt;Service quality from the perspective of myocardial infarction patients&lt;/title&gt;&lt;secondary-title&gt;Turk Kardiyol Dern Ars&lt;/secondary-title&gt;&lt;alt-title&gt;Turk Kardiyoloji Dernegi arsivi : Turk Kardiyoloji Derneginin yayin organidir&lt;/alt-title&gt;&lt;/titles&gt;&lt;periodical&gt;&lt;full-title&gt;Turk Kardiyol Dern Ars&lt;/full-title&gt;&lt;abbr-1&gt;Turk Kardiyoloji Dernegi arsivi : Turk Kardiyoloji Derneginin yayin organidir&lt;/abbr-1&gt;&lt;/periodical&gt;&lt;alt-periodical&gt;&lt;full-title&gt;Turk Kardiyol Dern Ars&lt;/full-title&gt;&lt;abbr-1&gt;Turk Kardiyoloji Dernegi arsivi : Turk Kardiyoloji Derneginin yayin organidir&lt;/abbr-1&gt;&lt;/alt-periodical&gt;&lt;pages&gt;197-204&lt;/pages&gt;&lt;volume&gt;46&lt;/volume&gt;&lt;number&gt;3&lt;/number&gt;&lt;edition&gt;2018/04/18&lt;/edition&gt;&lt;dates&gt;&lt;year&gt;2018&lt;/year&gt;&lt;pub-dates&gt;&lt;date&gt;Apr&lt;/date&gt;&lt;/pub-dates&gt;&lt;/dates&gt;&lt;isbn&gt;1016-5169&lt;/isbn&gt;&lt;accession-num&gt;29664426&lt;/accession-num&gt;&lt;urls&gt;&lt;/urls&gt;&lt;electronic-resource-num&gt;10.5543/tkda.2017.90250&lt;/electronic-resource-num&gt;&lt;remote-database-provider&gt;NLM&lt;/remote-database-provider&gt;&lt;language&gt;eng&lt;/language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31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Myocardial infarction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164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8.00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(4.00)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6.25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(3.63)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7.00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(3.75)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9.00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(3.00)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5.00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(4.33)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7.75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(4.00)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9.63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(2.06)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6.40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(4.60)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7.00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(4.33)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6.00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(4.00)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5.00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(6.38)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10.00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(3.00)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6.80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(1.47)</w:t>
            </w:r>
          </w:p>
        </w:tc>
        <w:tc>
          <w:tcPr>
            <w:tcW w:w="81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6.76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(1.55)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6.87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(1.37)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6.52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(1.79)</w:t>
            </w:r>
          </w:p>
        </w:tc>
        <w:tc>
          <w:tcPr>
            <w:tcW w:w="90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6.60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(1.63)</w:t>
            </w:r>
          </w:p>
        </w:tc>
      </w:tr>
      <w:tr w:rsidR="008E6A56" w:rsidRPr="00F5278A" w:rsidTr="00346A92">
        <w:trPr>
          <w:trHeight w:val="485"/>
        </w:trPr>
        <w:tc>
          <w:tcPr>
            <w:tcW w:w="1350" w:type="dxa"/>
            <w:vAlign w:val="center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Tabrizi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JS, et al, 2013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&lt;EndNote&gt;&lt;Cite&gt;&lt;Author&gt;Tabrizi&lt;/Author&gt;&lt;Year&gt;2013&lt;/Year&gt;&lt;RecNum&gt;8&lt;/RecNum&gt;&lt;DisplayText&gt;&lt;style face="superscript"&gt;32&lt;/style&gt;&lt;/DisplayText&gt;&lt;record&gt;&lt;rec-number&gt;8&lt;/rec-number&gt;&lt;foreign-keys&gt;&lt;key app="EN" db-id="s52vaf50ee0xsoeva5dppf0et0pzwtp55ffx" timestamp="1582199747"&gt;8&lt;/key&gt;&lt;/foreign-keys&gt;&lt;ref-type name="Journal Article"&gt;17&lt;/ref-type&gt;&lt;contributors&gt;&lt;authors&gt;&lt;author&gt;Tabrizi, J. S&lt;/author&gt;&lt;author&gt;Gharibi, F&lt;/author&gt;&lt;author&gt;Oskuie, A&lt;/author&gt;&lt;author&gt;Jafarabadi, A. M &lt;/author&gt;&lt;/authors&gt;&lt;/contributors&gt;&lt;titles&gt;&lt;title&gt;Service Quality in physiotherapy from the services recipients&amp;apos; perspective.&lt;/title&gt;&lt;secondary-title&gt;Jentashapir journal of health research&lt;/secondary-title&gt;&lt;/titles&gt;&lt;periodical&gt;&lt;full-title&gt;Jentashapir journal of health research&lt;/full-title&gt;&lt;/periodical&gt;&lt;volume&gt;&lt;style face="normal" font="default" charset="178" size="100%"&gt;4&lt;/style&gt;&lt;/volume&gt;&lt;number&gt;&lt;style face="normal" font="default" charset="178" size="100%"&gt;1&lt;/style&gt;&lt;/number&gt;&lt;dates&gt;&lt;year&gt;&lt;style face="normal" font="default" charset="178" size="100%"&gt;2013&lt;/style&gt;&lt;/year&gt;&lt;/dates&gt;&lt;urls&gt;&lt;/urls&gt;&lt;/record&gt;&lt;/Cite&gt;&lt;/EndNote&gt;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32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Physiotherapy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204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6.40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(2.97)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9.78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(1.05)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8.32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(3.50)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9.75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(1.08)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9.83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(0.867)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7.97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(1.99)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9.85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(0.679)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6.89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(2.46)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7.06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(2.46)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8.48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(2.23)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9.84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(1.22)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8.54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(0.797)</w:t>
            </w:r>
          </w:p>
        </w:tc>
        <w:tc>
          <w:tcPr>
            <w:tcW w:w="81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8.57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(0.79)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8.51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(0.81)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</w:tr>
      <w:tr w:rsidR="008E6A56" w:rsidRPr="00F5278A" w:rsidTr="00346A92">
        <w:trPr>
          <w:trHeight w:val="251"/>
        </w:trPr>
        <w:tc>
          <w:tcPr>
            <w:tcW w:w="1350" w:type="dxa"/>
            <w:vAlign w:val="center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Tabrizi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JS, et al, 2016,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&lt;EndNote&gt;&lt;Cite&gt;&lt;Author&gt;Tabrizi&lt;/Author&gt;&lt;Year&gt;2016&lt;/Year&gt;&lt;RecNum&gt;9&lt;/RecNum&gt;&lt;DisplayText&gt;&lt;style face="superscript"&gt;33&lt;/style&gt;&lt;/DisplayText&gt;&lt;record&gt;&lt;rec-number&gt;9&lt;/rec-number&gt;&lt;foreign-keys&gt;&lt;key app="EN" db-id="s52vaf50ee0xsoeva5dppf0et0pzwtp55ffx" timestamp="1582199747"&gt;9&lt;/key&gt;&lt;/foreign-keys&gt;&lt;ref-type name="Journal Article"&gt;17&lt;/ref-type&gt;&lt;contributors&gt;&lt;authors&gt;&lt;author&gt;Tabrizi, Jafar Sadegh&lt;/author&gt;&lt;author&gt;Farahsa, Sahar&lt;/author&gt;&lt;author&gt;Taghizadieh, Ali&lt;/author&gt;&lt;author&gt;Jafarabadi, Mohamad Asghari&lt;/author&gt;&lt;/authors&gt;&lt;/contributors&gt;&lt;titles&gt;&lt;title&gt;Service Quality of Delivered Care for People with Asthma in Tabriz: The Patients’ Perspective&lt;/title&gt;&lt;secondary-title&gt;Journal of Clinical Research &amp;amp; Governance&lt;/secondary-title&gt;&lt;/titles&gt;&lt;periodical&gt;&lt;full-title&gt;Journal of Clinical Research &amp;amp; Governance&lt;/full-title&gt;&lt;/periodical&gt;&lt;volume&gt;5&lt;/volume&gt;&lt;number&gt;1&lt;/number&gt;&lt;dates&gt;&lt;year&gt;2016&lt;/year&gt;&lt;/dates&gt;&lt;urls&gt;&lt;/urls&gt;&lt;/record&gt;&lt;/Cite&gt;&lt;/EndNote&gt;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33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Asthma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180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8.23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8.23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8.46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8.71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3.63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8.42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9.06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6.13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7.64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6.13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7.63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9.93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7.69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(1.67)</w:t>
            </w:r>
          </w:p>
        </w:tc>
        <w:tc>
          <w:tcPr>
            <w:tcW w:w="81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7.35</w:t>
            </w:r>
            <w:r w:rsidRPr="00F5278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(1.6)</w:t>
            </w:r>
          </w:p>
        </w:tc>
        <w:tc>
          <w:tcPr>
            <w:tcW w:w="90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7.74 (1.6)</w:t>
            </w:r>
          </w:p>
        </w:tc>
      </w:tr>
      <w:tr w:rsidR="008E6A56" w:rsidRPr="00F5278A" w:rsidTr="00346A92">
        <w:tc>
          <w:tcPr>
            <w:tcW w:w="1350" w:type="dxa"/>
            <w:vAlign w:val="center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Tabrizi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JS, et al, 2014,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&lt;EndNote&gt;&lt;Cite&gt;&lt;Author&gt;Tabrizi&lt;/Author&gt;&lt;Year&gt;2014&lt;/Year&gt;&lt;RecNum&gt;10&lt;/RecNum&gt;&lt;DisplayText&gt;&lt;style face="superscript"&gt;34&lt;/style&gt;&lt;/DisplayText&gt;&lt;record&gt;&lt;rec-number&gt;10&lt;/rec-number&gt;&lt;foreign-keys&gt;&lt;key app="EN" db-id="s52vaf50ee0xsoeva5dppf0et0pzwtp55ffx" timestamp="1582199747"&gt;10&lt;/key&gt;&lt;/foreign-keys&gt;&lt;ref-type name="Journal Article"&gt;17&lt;/ref-type&gt;&lt;contributors&gt;&lt;authors&gt;&lt;author&gt;Tabrizi, Jafar S.&lt;/author&gt;&lt;author&gt;Askari, Samira&lt;/author&gt;&lt;author&gt;Fardiazar, Zahra&lt;/author&gt;&lt;author&gt;Koshavar, Hossein&lt;/author&gt;&lt;author&gt;Gholipour, Kamal&lt;/author&gt;&lt;/authors&gt;&lt;/contributors&gt;&lt;titles&gt;&lt;title&gt;Service Quality of Delivered Care from the Perception of Women with Caesarean Section and Normal Delivery&lt;/title&gt;&lt;secondary-title&gt;Health Promotion Perspectives&lt;/secondary-title&gt;&lt;/titles&gt;&lt;periodical&gt;&lt;full-title&gt;Health Promotion Perspectives&lt;/full-title&gt;&lt;/periodical&gt;&lt;pages&gt;137-143&lt;/pages&gt;&lt;volume&gt;4&lt;/volume&gt;&lt;number&gt;2&lt;/number&gt;&lt;dates&gt;&lt;year&gt;2014&lt;/year&gt;&lt;pub-dates&gt;&lt;date&gt;12/30&amp;#xD;05/15/received&amp;#xD;08/24/accepted&lt;/date&gt;&lt;/pub-dates&gt;&lt;/dates&gt;&lt;publisher&gt;Tabriz University of Medical Sciences&lt;/publisher&gt;&lt;isbn&gt;2228-6497&lt;/isbn&gt;&lt;accession-num&gt;PMC4300438&lt;/accession-num&gt;&lt;urls&gt;&lt;related-urls&gt;&lt;url&gt;http://www.ncbi.nlm.nih.gov/pmc/articles/PMC4300438/&lt;/url&gt;&lt;/related-urls&gt;&lt;/urls&gt;&lt;electronic-resource-num&gt;10.5681/hpp.2014.018&lt;/electronic-resource-num&gt;&lt;remote-database-name&gt;PMC&lt;/remote-database-name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34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Caesarean Section and Normal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8.16 6.54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6.93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(8.25)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6.00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(8.19)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5.46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(6.57)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5.93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(7.32)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7.44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(7.51)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6.54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(7.37)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6.41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(6.88)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7.12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(7.28)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6.99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(7.04)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5.62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(7.64)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6.61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(8.47)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7.50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(1.45)</w:t>
            </w:r>
          </w:p>
        </w:tc>
        <w:tc>
          <w:tcPr>
            <w:tcW w:w="81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----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----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----</w:t>
            </w:r>
          </w:p>
        </w:tc>
        <w:tc>
          <w:tcPr>
            <w:tcW w:w="90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----</w:t>
            </w:r>
          </w:p>
        </w:tc>
      </w:tr>
      <w:tr w:rsidR="008E6A56" w:rsidRPr="00F5278A" w:rsidTr="00346A92">
        <w:tc>
          <w:tcPr>
            <w:tcW w:w="1350" w:type="dxa"/>
            <w:vAlign w:val="center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Tabrizi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JS, et al, 2014,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&lt;EndNote&gt;&lt;Cite&gt;&lt;Author&gt;Tabrizi&lt;/Author&gt;&lt;Year&gt;2014&lt;/Year&gt;&lt;RecNum&gt;11&lt;/RecNum&gt;&lt;DisplayText&gt;&lt;style face="superscript"&gt;35&lt;/style&gt;&lt;/DisplayText&gt;&lt;record&gt;&lt;rec-number&gt;11&lt;/rec-number&gt;&lt;foreign-keys&gt;&lt;key app="EN" db-id="s52vaf50ee0xsoeva5dppf0et0pzwtp55ffx" timestamp="1582199747"&gt;11&lt;/key&gt;&lt;/foreign-keys&gt;&lt;ref-type name="Journal Article"&gt;17&lt;/ref-type&gt;&lt;contributors&gt;&lt;authors&gt;&lt;author&gt;Tabrizi, JS&lt;/author&gt;&lt;author&gt;Gholipour, K&lt;/author&gt;&lt;author&gt;Alipour, R&lt;/author&gt;&lt;author&gt;Farahbakhsh, M&lt;/author&gt;&lt;author&gt;Asghari-Jafarabadi, M&lt;/author&gt;&lt;author&gt;Haghaei, M&lt;/author&gt;&lt;/authors&gt;&lt;/contributors&gt;&lt;titles&gt;&lt;title&gt;Service Quality of maternity care from the perspective of pregnant women in Tabriz Health Centers and Health Posts–2010-2011&lt;/title&gt;&lt;secondary-title&gt;Journal of Hospital&lt;/secondary-title&gt;&lt;/titles&gt;&lt;periodical&gt;&lt;full-title&gt;Journal of Hospital&lt;/full-title&gt;&lt;/periodical&gt;&lt;pages&gt;9-18&lt;/pages&gt;&lt;volume&gt;12&lt;/volume&gt;&lt;number&gt;4&lt;/number&gt;&lt;dates&gt;&lt;year&gt;2014&lt;/year&gt;&lt;/dates&gt;&lt;urls&gt;&lt;/urls&gt;&lt;/record&gt;&lt;/Cite&gt;&lt;/EndNote&gt;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35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Maternity care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185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8.57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(1.94)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8.70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(2.33)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7.85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(2.71)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9.16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(1.55)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3.66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(3.32)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7.49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(2.37)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7.14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(2.53)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7.79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(1.98)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6.80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(3.66)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7.43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(4.14)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9.12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(2.67)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9.76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(1.47)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7.53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(1.36)</w:t>
            </w:r>
          </w:p>
        </w:tc>
        <w:tc>
          <w:tcPr>
            <w:tcW w:w="81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----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----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  <w:tc>
          <w:tcPr>
            <w:tcW w:w="90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----</w:t>
            </w:r>
          </w:p>
        </w:tc>
      </w:tr>
      <w:tr w:rsidR="008E6A56" w:rsidRPr="00F5278A" w:rsidTr="00346A92">
        <w:tc>
          <w:tcPr>
            <w:tcW w:w="1350" w:type="dxa"/>
            <w:vAlign w:val="center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Gholipoue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K, et al, 2018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&lt;EndNote&gt;&lt;Cite&gt;&lt;Author&gt;Gholipour&lt;/Author&gt;&lt;Year&gt;2018&lt;/Year&gt;&lt;RecNum&gt;12&lt;/RecNum&gt;&lt;DisplayText&gt;&lt;style face="superscript"&gt;36&lt;/style&gt;&lt;/DisplayText&gt;&lt;record&gt;&lt;rec-number&gt;12&lt;/rec-number&gt;&lt;foreign-keys&gt;&lt;key app="EN" db-id="s52vaf50ee0xsoeva5dppf0et0pzwtp55ffx" timestamp="1582199747"&gt;12&lt;/key&gt;&lt;/foreign-keys&gt;&lt;ref-type name="Journal Article"&gt;17&lt;/ref-type&gt;&lt;contributors&gt;&lt;authors&gt;&lt;author&gt;Gholipour, Kamal&lt;/author&gt;&lt;author&gt;Tabrizi, Jafar Sadegh&lt;/author&gt;&lt;author&gt;Jafarabadi, Mohammad Asghari&lt;/author&gt;&lt;author&gt;Iezadi, Shabnam&lt;/author&gt;&lt;author&gt;Mardi, Ahmad&lt;/author&gt;&lt;/authors&gt;&lt;/contributors&gt;&lt;titles&gt;&lt;title&gt;Effects of customer self-audit on the quality of maternity care in Tabriz: A cluster-randomized controlled trial&lt;/title&gt;&lt;secondary-title&gt;PloS one&lt;/secondary-title&gt;&lt;/titles&gt;&lt;periodical&gt;&lt;full-title&gt;PloS one&lt;/full-title&gt;&lt;/periodical&gt;&lt;pages&gt;e0203255&lt;/pages&gt;&lt;volume&gt;13&lt;/volume&gt;&lt;number&gt;10&lt;/number&gt;&lt;dates&gt;&lt;year&gt;2018&lt;/year&gt;&lt;/dates&gt;&lt;isbn&gt;1932-6203&lt;/isbn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36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(1)</w:t>
            </w:r>
          </w:p>
        </w:tc>
        <w:tc>
          <w:tcPr>
            <w:tcW w:w="117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Maternity care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92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8.78 (1.40)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9.90 (0.4)4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9.33 (1.77)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9.17 (2.04)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7.88 (3.35)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8.67 (2.11)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8.08 (1.68)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8.19 (1.87)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9.07 (1.72)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9.51 (1.45)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9.07 (1.62)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10.00 (0.00)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8.91 (0.76)</w:t>
            </w:r>
          </w:p>
        </w:tc>
        <w:tc>
          <w:tcPr>
            <w:tcW w:w="81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</w:tr>
      <w:tr w:rsidR="008E6A56" w:rsidRPr="00F5278A" w:rsidTr="00346A92">
        <w:tc>
          <w:tcPr>
            <w:tcW w:w="1350" w:type="dxa"/>
            <w:vAlign w:val="center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Gholipoue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K, et al, 2018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&lt;EndNote&gt;&lt;Cite&gt;&lt;Author&gt;Gholipour&lt;/Author&gt;&lt;Year&gt;2018&lt;/Year&gt;&lt;RecNum&gt;12&lt;/RecNum&gt;&lt;DisplayText&gt;&lt;style face="superscript"&gt;36&lt;/style&gt;&lt;/DisplayText&gt;&lt;record&gt;&lt;rec-number&gt;12&lt;/rec-number&gt;&lt;foreign-keys&gt;&lt;key app="EN" db-id="s52vaf50ee0xsoeva5dppf0et0pzwtp55ffx" timestamp="1582199747"&gt;12&lt;/key&gt;&lt;/foreign-keys&gt;&lt;ref-type name="Journal Article"&gt;17&lt;/ref-type&gt;&lt;contributors&gt;&lt;authors&gt;&lt;author&gt;Gholipour, Kamal&lt;/author&gt;&lt;author&gt;Tabrizi, Jafar Sadegh&lt;/author&gt;&lt;author&gt;Jafarabadi, Mohammad Asghari&lt;/author&gt;&lt;author&gt;Iezadi, Shabnam&lt;/author&gt;&lt;author&gt;Mardi, Ahmad&lt;/author&gt;&lt;/authors&gt;&lt;/contributors&gt;&lt;titles&gt;&lt;title&gt;Effects of customer self-audit on the quality of maternity care in Tabriz: A cluster-randomized controlled trial&lt;/title&gt;&lt;secondary-title&gt;PloS one&lt;/secondary-title&gt;&lt;/titles&gt;&lt;periodical&gt;&lt;full-title&gt;PloS one&lt;/full-title&gt;&lt;/periodical&gt;&lt;pages&gt;e0203255&lt;/pages&gt;&lt;volume&gt;13&lt;/volume&gt;&lt;number&gt;10&lt;/number&gt;&lt;dates&gt;&lt;year&gt;2018&lt;/year&gt;&lt;/dates&gt;&lt;isbn&gt;1932-6203&lt;/isbn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36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(2)</w:t>
            </w:r>
          </w:p>
        </w:tc>
        <w:tc>
          <w:tcPr>
            <w:tcW w:w="117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Maternity care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93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8.85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(1.32)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9.23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(1.56)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8.77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(1.55)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9.27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(1.60)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2.16(2.64)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8.93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(1.48)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6.48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(2.53)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7.90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(2.07)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7.05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(2.19)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6.14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(3.30)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8.55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(1.73)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10.00 (0.00)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7.63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(0.91)</w:t>
            </w:r>
          </w:p>
        </w:tc>
        <w:tc>
          <w:tcPr>
            <w:tcW w:w="81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</w:tr>
      <w:tr w:rsidR="008E6A56" w:rsidRPr="00F5278A" w:rsidTr="00346A92">
        <w:tc>
          <w:tcPr>
            <w:tcW w:w="1350" w:type="dxa"/>
            <w:vAlign w:val="center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Alidoost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S, et al, 2013,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&lt;EndNote&gt;&lt;Cite&gt;&lt;Author&gt;Alidoost&lt;/Author&gt;&lt;Year&gt;2013&lt;/Year&gt;&lt;RecNum&gt;13&lt;/RecNum&gt;&lt;DisplayText&gt;&lt;style face="superscript"&gt;37&lt;/style&gt;&lt;/DisplayText&gt;&lt;record&gt;&lt;rec-number&gt;13&lt;/rec-number&gt;&lt;foreign-keys&gt;&lt;key app="EN" db-id="s52vaf50ee0xsoeva5dppf0et0pzwtp55ffx" timestamp="1582199747"&gt;13&lt;/key&gt;&lt;/foreign-keys&gt;&lt;ref-type name="Journal Article"&gt;17&lt;/ref-type&gt;&lt;contributors&gt;&lt;authors&gt;&lt;author&gt;Alidoost, S&lt;/author&gt;&lt;author&gt;Tabrizi, J&lt;/author&gt;&lt;author&gt;Mohamadi, F&lt;/author&gt;&lt;author&gt;Somi, M&lt;/author&gt;&lt;author&gt;Asghari-Jafarabadi, M&lt;/author&gt;&lt;author&gt;Gharibi, F&lt;/author&gt;&lt;/authors&gt;&lt;/contributors&gt;&lt;titles&gt;&lt;title&gt;Assessment of Delivered Care Service Quality in Inflammatory Bowel Disease from the Patients&amp;apos; Perspective&lt;/title&gt;&lt;secondary-title&gt;Depiction of Health&lt;/secondary-title&gt;&lt;/titles&gt;&lt;periodical&gt;&lt;full-title&gt;Depiction of Health&lt;/full-title&gt;&lt;/periodical&gt;&lt;pages&gt;6-14&lt;/pages&gt;&lt;volume&gt;4&lt;/volume&gt;&lt;number&gt;4&lt;/number&gt;&lt;keywords&gt;&lt;keyword&gt;Inflammatory Bowel Disease&lt;/keyword&gt;&lt;keyword&gt;Service Quality&lt;/keyword&gt;&lt;/keywords&gt;&lt;dates&gt;&lt;year&gt;2013&lt;/year&gt;&lt;pub-dates&gt;&lt;date&gt;12/26/2013&lt;/date&gt;&lt;/pub-dates&gt;&lt;/dates&gt;&lt;urls&gt;&lt;related-urls&gt;&lt;url&gt;https://dohweb.tbzmed.ac.ir/en/pub/20/5/65/Assessment-of-Delivered-Care-Service-Quality-in-Inflammatory-Bowel-Disease-from-the-Patients--Perspective.html&lt;/url&gt;&lt;/related-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37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Inflammatory bowel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94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9.48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(1.86)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8.00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(2.68)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8.16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(2.84)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950.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(1.59)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5.56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(3.49)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6.91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(3.23)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8.11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(2.06)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6.54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(3.57)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6.51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(3.39)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5.42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(4.27)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7.34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(2.95)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9.46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(2.25)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7.21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(1.46)</w:t>
            </w:r>
          </w:p>
        </w:tc>
        <w:tc>
          <w:tcPr>
            <w:tcW w:w="81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7.31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(1.53)</w:t>
            </w:r>
          </w:p>
        </w:tc>
        <w:tc>
          <w:tcPr>
            <w:tcW w:w="63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7.11</w:t>
            </w:r>
          </w:p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(1.4)</w:t>
            </w:r>
          </w:p>
        </w:tc>
        <w:tc>
          <w:tcPr>
            <w:tcW w:w="72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900" w:type="dxa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</w:tr>
      <w:tr w:rsidR="008E6A56" w:rsidRPr="00F5278A" w:rsidTr="00346A92">
        <w:tc>
          <w:tcPr>
            <w:tcW w:w="15300" w:type="dxa"/>
            <w:gridSpan w:val="20"/>
          </w:tcPr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D1: Choice of care provider  D2: Communication   D3: Autonomy  D4: Continuity  D5: Support group  D6: Quality of basic amenities  D7: Dignity  D8: Prompt attention D9: Safety  D10: Prevention/early detection  D11: Accessibility D12: Confidentiality </w:t>
            </w:r>
          </w:p>
          <w:p w:rsidR="008E6A56" w:rsidRPr="00F5278A" w:rsidRDefault="008E6A56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*Mean(SD)</w:t>
            </w:r>
          </w:p>
        </w:tc>
      </w:tr>
    </w:tbl>
    <w:p w:rsidR="00744103" w:rsidRDefault="00744103"/>
    <w:p w:rsidR="00744103" w:rsidRDefault="00744103"/>
    <w:p w:rsidR="00D90407" w:rsidRDefault="00D90407"/>
    <w:p w:rsidR="00D90407" w:rsidRDefault="00D90407"/>
    <w:p w:rsidR="00D90407" w:rsidRDefault="00D90407"/>
    <w:tbl>
      <w:tblPr>
        <w:tblStyle w:val="TableGrid"/>
        <w:tblW w:w="11788" w:type="dxa"/>
        <w:jc w:val="center"/>
        <w:tblLook w:val="04A0" w:firstRow="1" w:lastRow="0" w:firstColumn="1" w:lastColumn="0" w:noHBand="0" w:noVBand="1"/>
      </w:tblPr>
      <w:tblGrid>
        <w:gridCol w:w="2880"/>
        <w:gridCol w:w="2157"/>
        <w:gridCol w:w="876"/>
        <w:gridCol w:w="1226"/>
        <w:gridCol w:w="1348"/>
        <w:gridCol w:w="803"/>
        <w:gridCol w:w="766"/>
        <w:gridCol w:w="866"/>
        <w:gridCol w:w="866"/>
      </w:tblGrid>
      <w:tr w:rsidR="008E6A56" w:rsidRPr="00F5278A" w:rsidTr="008E6A56">
        <w:trPr>
          <w:trHeight w:val="330"/>
          <w:jc w:val="center"/>
        </w:trPr>
        <w:tc>
          <w:tcPr>
            <w:tcW w:w="11788" w:type="dxa"/>
            <w:gridSpan w:val="9"/>
            <w:shd w:val="clear" w:color="auto" w:fill="E5DFEC" w:themeFill="accent4" w:themeFillTint="33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Table3</w:t>
            </w:r>
            <w:r w:rsidRPr="00F5278A">
              <w:rPr>
                <w:rFonts w:asciiTheme="majorBidi" w:hAnsiTheme="majorBidi" w:cstheme="majorBidi"/>
                <w:sz w:val="24"/>
                <w:szCs w:val="24"/>
              </w:rPr>
              <w:t>. Characteristics of the included studies in Customer Quality</w:t>
            </w:r>
          </w:p>
        </w:tc>
      </w:tr>
      <w:tr w:rsidR="008E6A56" w:rsidRPr="00F5278A" w:rsidTr="008E6A56">
        <w:trPr>
          <w:trHeight w:val="330"/>
          <w:jc w:val="center"/>
        </w:trPr>
        <w:tc>
          <w:tcPr>
            <w:tcW w:w="2880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Author: year</w:t>
            </w:r>
          </w:p>
        </w:tc>
        <w:tc>
          <w:tcPr>
            <w:tcW w:w="2157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Disease type</w:t>
            </w:r>
          </w:p>
        </w:tc>
        <w:tc>
          <w:tcPr>
            <w:tcW w:w="876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Sample size</w:t>
            </w:r>
          </w:p>
        </w:tc>
        <w:tc>
          <w:tcPr>
            <w:tcW w:w="1226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Mean age</w:t>
            </w:r>
          </w:p>
        </w:tc>
        <w:tc>
          <w:tcPr>
            <w:tcW w:w="1348" w:type="dxa"/>
            <w:vMerge w:val="restart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CQ score</w:t>
            </w:r>
          </w:p>
        </w:tc>
        <w:tc>
          <w:tcPr>
            <w:tcW w:w="3301" w:type="dxa"/>
            <w:gridSpan w:val="4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self-management capability groups</w:t>
            </w:r>
          </w:p>
        </w:tc>
      </w:tr>
      <w:tr w:rsidR="008E6A56" w:rsidRPr="00F5278A" w:rsidTr="008E6A56">
        <w:trPr>
          <w:trHeight w:val="278"/>
          <w:jc w:val="center"/>
        </w:trPr>
        <w:tc>
          <w:tcPr>
            <w:tcW w:w="2880" w:type="dxa"/>
            <w:vMerge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7" w:type="dxa"/>
            <w:vMerge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76" w:type="dxa"/>
            <w:vMerge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26" w:type="dxa"/>
            <w:vMerge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vMerge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One</w:t>
            </w:r>
          </w:p>
        </w:tc>
        <w:tc>
          <w:tcPr>
            <w:tcW w:w="766" w:type="dxa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Two</w:t>
            </w:r>
          </w:p>
        </w:tc>
        <w:tc>
          <w:tcPr>
            <w:tcW w:w="866" w:type="dxa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Three</w:t>
            </w:r>
          </w:p>
        </w:tc>
        <w:tc>
          <w:tcPr>
            <w:tcW w:w="866" w:type="dxa"/>
            <w:shd w:val="clear" w:color="auto" w:fill="E5DFEC" w:themeFill="accent4" w:themeFillTint="33"/>
            <w:vAlign w:val="center"/>
          </w:tcPr>
          <w:p w:rsidR="008E6A56" w:rsidRPr="00F5278A" w:rsidRDefault="008E6A56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Four</w:t>
            </w:r>
          </w:p>
        </w:tc>
      </w:tr>
      <w:tr w:rsidR="008E6A56" w:rsidRPr="00F5278A" w:rsidTr="008E6A56">
        <w:trPr>
          <w:jc w:val="center"/>
        </w:trPr>
        <w:tc>
          <w:tcPr>
            <w:tcW w:w="2880" w:type="dxa"/>
            <w:vAlign w:val="center"/>
          </w:tcPr>
          <w:p w:rsidR="008E6A56" w:rsidRPr="00280A71" w:rsidRDefault="008E6A56" w:rsidP="00346A92">
            <w:pPr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Azami-aghdash</w:t>
            </w:r>
            <w:proofErr w:type="spellEnd"/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Saber, et al, 2013,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instrText xml:space="preserve"> ADDIN EN.CITE &lt;EndNote&gt;&lt;Cite&gt;&lt;Author&gt;Azami-Aghdash&lt;/Author&gt;&lt;Year&gt;2013&lt;/Year&gt;&lt;RecNum&gt;14&lt;/RecNum&gt;&lt;DisplayText&gt;&lt;style face="superscript"&gt;38&lt;/style&gt;&lt;/DisplayText&gt;&lt;record&gt;&lt;rec-number&gt;14&lt;/rec-number&gt;&lt;foreign-keys&gt;&lt;key app="EN" db-id="s52vaf50ee0xsoeva5dppf0et0pzwtp55ffx" timestamp="1582199747"&gt;14&lt;/key&gt;&lt;/foreign-keys&gt;&lt;ref-type name="Journal Article"&gt;17&lt;/ref-type&gt;&lt;contributors&gt;&lt;authors&gt;&lt;author&gt;Azami-Aghdash, Saber&lt;/author&gt;&lt;author&gt;Tabrizi, Jafar-Sadegh&lt;/author&gt;&lt;author&gt;Ghojazadeh, Morteza&lt;/author&gt;&lt;author&gt;Naghavi-Behzad, Mohammad&lt;/author&gt;&lt;author&gt;Imani, Shahin&lt;/author&gt;&lt;/authors&gt;&lt;/contributors&gt;&lt;titles&gt;&lt;title&gt;Customer quality: a self-reporting survey among angiography patients&lt;/title&gt;&lt;secondary-title&gt;International Journal of Hospital Research&lt;/secondary-title&gt;&lt;/titles&gt;&lt;periodical&gt;&lt;full-title&gt;International Journal of Hospital Research&lt;/full-title&gt;&lt;/periodical&gt;&lt;pages&gt;119-126&lt;/pages&gt;&lt;volume&gt;2&lt;/volume&gt;&lt;number&gt;3&lt;/number&gt;&lt;dates&gt;&lt;year&gt;2013&lt;/year&gt;&lt;/dates&gt;&lt;isbn&gt;2251-8940&lt;/isbn&gt;&lt;urls&gt;&lt;/urls&gt;&lt;/record&gt;&lt;/Cite&gt;&lt;/EndNote&gt;</w:instrTex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vertAlign w:val="superscript"/>
              </w:rPr>
              <w:t>38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Angiography</w:t>
            </w:r>
          </w:p>
        </w:tc>
        <w:tc>
          <w:tcPr>
            <w:tcW w:w="87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202</w:t>
            </w:r>
          </w:p>
        </w:tc>
        <w:tc>
          <w:tcPr>
            <w:tcW w:w="122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55.81±10.32</w:t>
            </w:r>
          </w:p>
        </w:tc>
        <w:tc>
          <w:tcPr>
            <w:tcW w:w="1348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60.42±10.07</w:t>
            </w:r>
          </w:p>
        </w:tc>
        <w:tc>
          <w:tcPr>
            <w:tcW w:w="803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**1 (0.5)</w:t>
            </w:r>
          </w:p>
        </w:tc>
        <w:tc>
          <w:tcPr>
            <w:tcW w:w="7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(14.6)</w:t>
            </w:r>
          </w:p>
        </w:tc>
        <w:tc>
          <w:tcPr>
            <w:tcW w:w="8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168 (84.4)</w:t>
            </w:r>
          </w:p>
        </w:tc>
        <w:tc>
          <w:tcPr>
            <w:tcW w:w="8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8E6A56" w:rsidRPr="00F5278A" w:rsidTr="008E6A56">
        <w:trPr>
          <w:jc w:val="center"/>
        </w:trPr>
        <w:tc>
          <w:tcPr>
            <w:tcW w:w="2880" w:type="dxa"/>
            <w:vAlign w:val="center"/>
          </w:tcPr>
          <w:p w:rsidR="008E6A56" w:rsidRPr="00280A71" w:rsidRDefault="008E6A56" w:rsidP="00346A9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80A71">
              <w:rPr>
                <w:rFonts w:asciiTheme="majorBidi" w:hAnsiTheme="majorBidi" w:cstheme="majorBidi"/>
                <w:sz w:val="20"/>
                <w:szCs w:val="20"/>
              </w:rPr>
              <w:t>Tabrizi</w:t>
            </w:r>
            <w:proofErr w:type="spellEnd"/>
            <w:r w:rsidRPr="00280A71">
              <w:rPr>
                <w:rFonts w:asciiTheme="majorBidi" w:hAnsiTheme="majorBidi" w:cstheme="majorBidi"/>
                <w:sz w:val="20"/>
                <w:szCs w:val="20"/>
              </w:rPr>
              <w:t xml:space="preserve"> JS, et al, 2012, </w:t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&lt;EndNote&gt;&lt;Cite&gt;&lt;Author&gt;Tabrizi&lt;/Author&gt;&lt;Year&gt;2012&lt;/Year&gt;&lt;RecNum&gt;15&lt;/RecNum&gt;&lt;DisplayText&gt;&lt;style face="superscript"&gt;39&lt;/style&gt;&lt;/DisplayText&gt;&lt;record&gt;&lt;rec-number&gt;15&lt;/rec-number&gt;&lt;foreign-keys&gt;&lt;key app="EN" db-id="s52vaf50ee0xsoeva5dppf0et0pzwtp55ffx" timestamp="1582199747"&gt;15&lt;/key&gt;&lt;/foreign-keys&gt;&lt;ref-type name="Journal Article"&gt;17&lt;/ref-type&gt;&lt;contributors&gt;&lt;authors&gt;&lt;author&gt;Tabrizi, Jafar-sadegh&lt;/author&gt;&lt;author&gt;Jafarabadi, Mohammad Asghari&lt;/author&gt;&lt;author&gt;Farahbakhsh, Mostafa&lt;/author&gt;&lt;author&gt;Mohammadzedeh, Mojtaba&lt;/author&gt;&lt;/authors&gt;&lt;/contributors&gt;&lt;titles&gt;&lt;title&gt;Customer quality and maternity care in Tabriz urban health centers and health posts&lt;/title&gt;&lt;secondary-title&gt;Journal of Clinical Research &amp;amp; Governance&lt;/secondary-title&gt;&lt;/titles&gt;&lt;periodical&gt;&lt;full-title&gt;Journal of Clinical Research &amp;amp; Governance&lt;/full-title&gt;&lt;/periodical&gt;&lt;pages&gt;11-15&lt;/pages&gt;&lt;volume&gt;1&lt;/volume&gt;&lt;number&gt;1&lt;/number&gt;&lt;dates&gt;&lt;year&gt;2012&lt;/year&gt;&lt;/dates&gt;&lt;urls&gt;&lt;/urls&gt;&lt;/record&gt;&lt;/Cite&gt;&lt;/EndNote&gt;</w:instrText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39</w:t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8E6A56" w:rsidRPr="00280A71" w:rsidRDefault="008E6A56" w:rsidP="008E6A5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Maternity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care</w:t>
            </w:r>
          </w:p>
        </w:tc>
        <w:tc>
          <w:tcPr>
            <w:tcW w:w="87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2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67.1</w:t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t>±11.39</w:t>
            </w:r>
          </w:p>
        </w:tc>
        <w:tc>
          <w:tcPr>
            <w:tcW w:w="1348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67.79± 11.29</w:t>
            </w:r>
          </w:p>
        </w:tc>
        <w:tc>
          <w:tcPr>
            <w:tcW w:w="803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(5.0)</w:t>
            </w:r>
          </w:p>
        </w:tc>
        <w:tc>
          <w:tcPr>
            <w:tcW w:w="8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146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(80.7)</w:t>
            </w:r>
          </w:p>
        </w:tc>
        <w:tc>
          <w:tcPr>
            <w:tcW w:w="8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(14.4)</w:t>
            </w:r>
          </w:p>
        </w:tc>
      </w:tr>
      <w:tr w:rsidR="008E6A56" w:rsidRPr="00F5278A" w:rsidTr="008E6A56">
        <w:trPr>
          <w:jc w:val="center"/>
        </w:trPr>
        <w:tc>
          <w:tcPr>
            <w:tcW w:w="2880" w:type="dxa"/>
            <w:vAlign w:val="center"/>
          </w:tcPr>
          <w:p w:rsidR="008E6A56" w:rsidRPr="00280A71" w:rsidRDefault="008E6A56" w:rsidP="00346A9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80A71">
              <w:rPr>
                <w:rFonts w:asciiTheme="majorBidi" w:hAnsiTheme="majorBidi" w:cstheme="majorBidi"/>
                <w:sz w:val="20"/>
                <w:szCs w:val="20"/>
              </w:rPr>
              <w:t>Tabrizi</w:t>
            </w:r>
            <w:proofErr w:type="spellEnd"/>
            <w:r w:rsidRPr="00280A71">
              <w:rPr>
                <w:rFonts w:asciiTheme="majorBidi" w:hAnsiTheme="majorBidi" w:cstheme="majorBidi"/>
                <w:sz w:val="20"/>
                <w:szCs w:val="20"/>
              </w:rPr>
              <w:t xml:space="preserve"> JS, et al, 2012, </w:t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&lt;EndNote&gt;&lt;Cite&gt;&lt;Author&gt;Tabrizi&lt;/Author&gt;&lt;Year&gt;2015&lt;/Year&gt;&lt;RecNum&gt;16&lt;/RecNum&gt;&lt;DisplayText&gt;&lt;style face="superscript"&gt;40&lt;/style&gt;&lt;/DisplayText&gt;&lt;record&gt;&lt;rec-number&gt;16&lt;/rec-number&gt;&lt;foreign-keys&gt;&lt;key app="EN" db-id="s52vaf50ee0xsoeva5dppf0et0pzwtp55ffx" timestamp="1582199748"&gt;16&lt;/key&gt;&lt;/foreign-keys&gt;&lt;ref-type name="Journal Article"&gt;17&lt;/ref-type&gt;&lt;contributors&gt;&lt;authors&gt;&lt;author&gt;Tabrizi, Jafar Sadegh&lt;/author&gt;&lt;author&gt;Gharibi, Farid&lt;/author&gt;&lt;/authors&gt;&lt;/contributors&gt;&lt;titles&gt;&lt;title&gt;The Customer Quality of Delivered Care to Patients with Inflammatory Bowel Disease in Tabriz City, Iran, 2012&lt;/title&gt;&lt;secondary-title&gt;Iranian Journal of Health Sciences&lt;/secondary-title&gt;&lt;/titles&gt;&lt;periodical&gt;&lt;full-title&gt;Iranian Journal of Health Sciences&lt;/full-title&gt;&lt;/periodical&gt;&lt;pages&gt;29-36&lt;/pages&gt;&lt;volume&gt;3&lt;/volume&gt;&lt;number&gt;3&lt;/number&gt;&lt;dates&gt;&lt;year&gt;2015&lt;/year&gt;&lt;/dates&gt;&lt;urls&gt;&lt;/urls&gt;&lt;/record&gt;&lt;/Cite&gt;&lt;/EndNote&gt;</w:instrText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40</w:t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Inflammatory Bowel</w:t>
            </w:r>
          </w:p>
        </w:tc>
        <w:tc>
          <w:tcPr>
            <w:tcW w:w="87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94</w:t>
            </w:r>
          </w:p>
        </w:tc>
        <w:tc>
          <w:tcPr>
            <w:tcW w:w="122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---</w:t>
            </w:r>
          </w:p>
        </w:tc>
        <w:tc>
          <w:tcPr>
            <w:tcW w:w="1348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70.63 ± 9.67</w:t>
            </w:r>
          </w:p>
        </w:tc>
        <w:tc>
          <w:tcPr>
            <w:tcW w:w="803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(1.1)</w:t>
            </w:r>
          </w:p>
        </w:tc>
        <w:tc>
          <w:tcPr>
            <w:tcW w:w="8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82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(87.2)</w:t>
            </w:r>
          </w:p>
        </w:tc>
        <w:tc>
          <w:tcPr>
            <w:tcW w:w="8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(11.7)</w:t>
            </w:r>
          </w:p>
        </w:tc>
      </w:tr>
      <w:tr w:rsidR="008E6A56" w:rsidRPr="00F5278A" w:rsidTr="008E6A56">
        <w:trPr>
          <w:jc w:val="center"/>
        </w:trPr>
        <w:tc>
          <w:tcPr>
            <w:tcW w:w="2880" w:type="dxa"/>
            <w:vAlign w:val="center"/>
          </w:tcPr>
          <w:p w:rsidR="008E6A56" w:rsidRPr="00280A71" w:rsidRDefault="008E6A56" w:rsidP="00346A9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80A71">
              <w:rPr>
                <w:rFonts w:asciiTheme="majorBidi" w:hAnsiTheme="majorBidi" w:cstheme="majorBidi"/>
                <w:sz w:val="20"/>
                <w:szCs w:val="20"/>
              </w:rPr>
              <w:t>Gholipoue</w:t>
            </w:r>
            <w:proofErr w:type="spellEnd"/>
            <w:r w:rsidRPr="00280A71">
              <w:rPr>
                <w:rFonts w:asciiTheme="majorBidi" w:hAnsiTheme="majorBidi" w:cstheme="majorBidi"/>
                <w:sz w:val="20"/>
                <w:szCs w:val="20"/>
              </w:rPr>
              <w:t xml:space="preserve"> K, et al, 2018 </w:t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&lt;EndNote&gt;&lt;Cite&gt;&lt;Author&gt;Gholipour&lt;/Author&gt;&lt;Year&gt;2018&lt;/Year&gt;&lt;RecNum&gt;12&lt;/RecNum&gt;&lt;DisplayText&gt;&lt;style face="superscript"&gt;36&lt;/style&gt;&lt;/DisplayText&gt;&lt;record&gt;&lt;rec-number&gt;12&lt;/rec-number&gt;&lt;foreign-keys&gt;&lt;key app="EN" db-id="s52vaf50ee0xsoeva5dppf0et0pzwtp55ffx" timestamp="1582199747"&gt;12&lt;/key&gt;&lt;/foreign-keys&gt;&lt;ref-type name="Journal Article"&gt;17&lt;/ref-type&gt;&lt;contributors&gt;&lt;authors&gt;&lt;author&gt;Gholipour, Kamal&lt;/author&gt;&lt;author&gt;Tabrizi, Jafar Sadegh&lt;/author&gt;&lt;author&gt;Jafarabadi, Mohammad Asghari&lt;/author&gt;&lt;author&gt;Iezadi, Shabnam&lt;/author&gt;&lt;author&gt;Mardi, Ahmad&lt;/author&gt;&lt;/authors&gt;&lt;/contributors&gt;&lt;titles&gt;&lt;title&gt;Effects of customer self-audit on the quality of maternity care in Tabriz: A cluster-randomized controlled trial&lt;/title&gt;&lt;secondary-title&gt;PloS one&lt;/secondary-title&gt;&lt;/titles&gt;&lt;periodical&gt;&lt;full-title&gt;PloS one&lt;/full-title&gt;&lt;/periodical&gt;&lt;pages&gt;e0203255&lt;/pages&gt;&lt;volume&gt;13&lt;/volume&gt;&lt;number&gt;10&lt;/number&gt;&lt;dates&gt;&lt;year&gt;2018&lt;/year&gt;&lt;/dates&gt;&lt;isbn&gt;1932-6203&lt;/isbn&gt;&lt;urls&gt;&lt;/urls&gt;&lt;/record&gt;&lt;/Cite&gt;&lt;/EndNote&gt;</w:instrText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36</w:t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t xml:space="preserve"> (1)</w:t>
            </w:r>
          </w:p>
        </w:tc>
        <w:tc>
          <w:tcPr>
            <w:tcW w:w="2157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Maternity care</w:t>
            </w:r>
          </w:p>
        </w:tc>
        <w:tc>
          <w:tcPr>
            <w:tcW w:w="87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92</w:t>
            </w:r>
          </w:p>
        </w:tc>
        <w:tc>
          <w:tcPr>
            <w:tcW w:w="122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1348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87.47 ± 6.75</w:t>
            </w:r>
          </w:p>
        </w:tc>
        <w:tc>
          <w:tcPr>
            <w:tcW w:w="803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(17.4%)</w:t>
            </w:r>
          </w:p>
        </w:tc>
        <w:tc>
          <w:tcPr>
            <w:tcW w:w="8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76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(82.6%)</w:t>
            </w:r>
          </w:p>
        </w:tc>
      </w:tr>
      <w:tr w:rsidR="008E6A56" w:rsidRPr="00F5278A" w:rsidTr="008E6A56">
        <w:trPr>
          <w:jc w:val="center"/>
        </w:trPr>
        <w:tc>
          <w:tcPr>
            <w:tcW w:w="2880" w:type="dxa"/>
            <w:vAlign w:val="center"/>
          </w:tcPr>
          <w:p w:rsidR="008E6A56" w:rsidRPr="00280A71" w:rsidRDefault="008E6A56" w:rsidP="00346A9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80A71">
              <w:rPr>
                <w:rFonts w:asciiTheme="majorBidi" w:hAnsiTheme="majorBidi" w:cstheme="majorBidi"/>
                <w:sz w:val="20"/>
                <w:szCs w:val="20"/>
              </w:rPr>
              <w:t>Gholipoue</w:t>
            </w:r>
            <w:proofErr w:type="spellEnd"/>
            <w:r w:rsidRPr="00280A71">
              <w:rPr>
                <w:rFonts w:asciiTheme="majorBidi" w:hAnsiTheme="majorBidi" w:cstheme="majorBidi"/>
                <w:sz w:val="20"/>
                <w:szCs w:val="20"/>
              </w:rPr>
              <w:t xml:space="preserve"> K, et al, 2018 </w:t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&lt;EndNote&gt;&lt;Cite&gt;&lt;Author&gt;Gholipour&lt;/Author&gt;&lt;Year&gt;2018&lt;/Year&gt;&lt;RecNum&gt;12&lt;/RecNum&gt;&lt;DisplayText&gt;&lt;style face="superscript"&gt;36&lt;/style&gt;&lt;/DisplayText&gt;&lt;record&gt;&lt;rec-number&gt;12&lt;/rec-number&gt;&lt;foreign-keys&gt;&lt;key app="EN" db-id="s52vaf50ee0xsoeva5dppf0et0pzwtp55ffx" timestamp="1582199747"&gt;12&lt;/key&gt;&lt;/foreign-keys&gt;&lt;ref-type name="Journal Article"&gt;17&lt;/ref-type&gt;&lt;contributors&gt;&lt;authors&gt;&lt;author&gt;Gholipour, Kamal&lt;/author&gt;&lt;author&gt;Tabrizi, Jafar Sadegh&lt;/author&gt;&lt;author&gt;Jafarabadi, Mohammad Asghari&lt;/author&gt;&lt;author&gt;Iezadi, Shabnam&lt;/author&gt;&lt;author&gt;Mardi, Ahmad&lt;/author&gt;&lt;/authors&gt;&lt;/contributors&gt;&lt;titles&gt;&lt;title&gt;Effects of customer self-audit on the quality of maternity care in Tabriz: A cluster-randomized controlled trial&lt;/title&gt;&lt;secondary-title&gt;PloS one&lt;/secondary-title&gt;&lt;/titles&gt;&lt;periodical&gt;&lt;full-title&gt;PloS one&lt;/full-title&gt;&lt;/periodical&gt;&lt;pages&gt;e0203255&lt;/pages&gt;&lt;volume&gt;13&lt;/volume&gt;&lt;number&gt;10&lt;/number&gt;&lt;dates&gt;&lt;year&gt;2018&lt;/year&gt;&lt;/dates&gt;&lt;isbn&gt;1932-6203&lt;/isbn&gt;&lt;urls&gt;&lt;/urls&gt;&lt;/record&gt;&lt;/Cite&gt;&lt;/EndNote&gt;</w:instrText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36</w:t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280A71">
              <w:rPr>
                <w:rFonts w:asciiTheme="majorBidi" w:hAnsiTheme="majorBidi" w:cstheme="majorBidi"/>
                <w:sz w:val="20"/>
                <w:szCs w:val="20"/>
              </w:rPr>
              <w:t xml:space="preserve"> (2)</w:t>
            </w:r>
          </w:p>
        </w:tc>
        <w:tc>
          <w:tcPr>
            <w:tcW w:w="2157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Maternity care</w:t>
            </w:r>
          </w:p>
        </w:tc>
        <w:tc>
          <w:tcPr>
            <w:tcW w:w="87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93</w:t>
            </w:r>
          </w:p>
        </w:tc>
        <w:tc>
          <w:tcPr>
            <w:tcW w:w="122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1348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82.63 ± 7.21</w:t>
            </w:r>
          </w:p>
        </w:tc>
        <w:tc>
          <w:tcPr>
            <w:tcW w:w="803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(49.5%)</w:t>
            </w:r>
          </w:p>
        </w:tc>
        <w:tc>
          <w:tcPr>
            <w:tcW w:w="8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(50.5%)</w:t>
            </w:r>
          </w:p>
        </w:tc>
      </w:tr>
      <w:tr w:rsidR="008E6A56" w:rsidRPr="00F5278A" w:rsidTr="008E6A56">
        <w:trPr>
          <w:jc w:val="center"/>
        </w:trPr>
        <w:tc>
          <w:tcPr>
            <w:tcW w:w="2880" w:type="dxa"/>
            <w:vAlign w:val="center"/>
          </w:tcPr>
          <w:p w:rsidR="008E6A56" w:rsidRPr="00280A71" w:rsidRDefault="008E6A56" w:rsidP="00346A9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 xml:space="preserve">Azad </w:t>
            </w:r>
            <w:proofErr w:type="spellStart"/>
            <w:r w:rsidRPr="00280A71">
              <w:rPr>
                <w:rFonts w:asciiTheme="majorBidi" w:hAnsiTheme="majorBidi" w:cstheme="majorBidi"/>
                <w:sz w:val="20"/>
                <w:szCs w:val="20"/>
              </w:rPr>
              <w:t>Shokri</w:t>
            </w:r>
            <w:proofErr w:type="spellEnd"/>
            <w:r w:rsidRPr="00280A71">
              <w:rPr>
                <w:rFonts w:asciiTheme="majorBidi" w:hAnsiTheme="majorBidi" w:cstheme="majorBidi"/>
                <w:sz w:val="20"/>
                <w:szCs w:val="20"/>
              </w:rPr>
              <w:t xml:space="preserve"> et al, 2014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&lt;EndNote&gt;&lt;Cite&gt;&lt;Author&gt;Shokri&lt;/Author&gt;&lt;Year&gt;2014&lt;/Year&gt;&lt;RecNum&gt;88&lt;/RecNum&gt;&lt;DisplayText&gt;&lt;style face="superscript"&gt;41&lt;/style&gt;&lt;/DisplayText&gt;&lt;record&gt;&lt;rec-number&gt;88&lt;/rec-number&gt;&lt;foreign-keys&gt;&lt;key app="EN" db-id="s52vaf50ee0xsoeva5dppf0et0pzwtp55ffx" timestamp="1586942753"&gt;88&lt;/key&gt;&lt;/foreign-keys&gt;&lt;ref-type name="Journal Article"&gt;17&lt;/ref-type&gt;&lt;contributors&gt;&lt;authors&gt;&lt;author&gt;Shokri, Azad&lt;/author&gt;&lt;author&gt;Yarmohammadian, Mohammad Hossein&lt;/author&gt;&lt;author&gt;Mottaghi, Payman&lt;/author&gt;&lt;author&gt;Karimi, Saeed&lt;/author&gt;&lt;author&gt;Gholipour, Kamal&lt;/author&gt;&lt;author&gt;Sadegh Tabrizi, Jafar&lt;/author&gt;&lt;/authors&gt;&lt;/contributors&gt;&lt;titles&gt;&lt;title&gt;Customer Quality and Rheumatoid Arthritis in the Iranian Patient’s Perspective: A Cross-Sectional Study&lt;/title&gt;&lt;secondary-title&gt;Journal of Patient Safety &amp;amp; Quality Improvement&lt;/secondary-title&gt;&lt;/titles&gt;&lt;periodical&gt;&lt;full-title&gt;Journal of Patient Safety &amp;amp; Quality Improvement&lt;/full-title&gt;&lt;/periodical&gt;&lt;pages&gt;110-115&lt;/pages&gt;&lt;volume&gt;2&lt;/volume&gt;&lt;number&gt;3&lt;/number&gt;&lt;dates&gt;&lt;year&gt;2014&lt;/year&gt;&lt;/dates&gt;&lt;urls&gt;&lt;/urls&gt;&lt;/record&gt;&lt;/Cite&gt;&lt;/EndNote&gt;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41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Rheumatoid Arthritis</w:t>
            </w:r>
          </w:p>
        </w:tc>
        <w:tc>
          <w:tcPr>
            <w:tcW w:w="87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170</w:t>
            </w:r>
          </w:p>
        </w:tc>
        <w:tc>
          <w:tcPr>
            <w:tcW w:w="122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1348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70.25 ± 13.2</w:t>
            </w:r>
          </w:p>
        </w:tc>
        <w:tc>
          <w:tcPr>
            <w:tcW w:w="803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(9.3%)</w:t>
            </w:r>
          </w:p>
        </w:tc>
        <w:tc>
          <w:tcPr>
            <w:tcW w:w="8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115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(71.0%)</w:t>
            </w:r>
          </w:p>
        </w:tc>
        <w:tc>
          <w:tcPr>
            <w:tcW w:w="866" w:type="dxa"/>
            <w:vAlign w:val="center"/>
          </w:tcPr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  <w:p w:rsidR="008E6A56" w:rsidRPr="00280A71" w:rsidRDefault="008E6A56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0A71">
              <w:rPr>
                <w:rFonts w:asciiTheme="majorBidi" w:hAnsiTheme="majorBidi" w:cstheme="majorBidi"/>
                <w:sz w:val="20"/>
                <w:szCs w:val="20"/>
              </w:rPr>
              <w:t>(19.8%)</w:t>
            </w:r>
          </w:p>
        </w:tc>
      </w:tr>
      <w:tr w:rsidR="008E6A56" w:rsidRPr="00F5278A" w:rsidTr="008E6A56">
        <w:trPr>
          <w:jc w:val="center"/>
        </w:trPr>
        <w:tc>
          <w:tcPr>
            <w:tcW w:w="11788" w:type="dxa"/>
            <w:gridSpan w:val="9"/>
          </w:tcPr>
          <w:p w:rsidR="008E6A56" w:rsidRPr="00F5278A" w:rsidRDefault="008E6A56" w:rsidP="00346A92">
            <w:pPr>
              <w:bidi w:val="0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* Mean(SD)</w:t>
            </w:r>
          </w:p>
          <w:p w:rsidR="008E6A56" w:rsidRPr="00F5278A" w:rsidRDefault="008E6A56" w:rsidP="00346A92">
            <w:pPr>
              <w:bidi w:val="0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** N (%)</w:t>
            </w:r>
          </w:p>
        </w:tc>
      </w:tr>
    </w:tbl>
    <w:p w:rsidR="00744103" w:rsidRDefault="00744103"/>
    <w:p w:rsidR="00D90407" w:rsidRDefault="00D90407"/>
    <w:p w:rsidR="00D90407" w:rsidRDefault="00D90407"/>
    <w:tbl>
      <w:tblPr>
        <w:tblStyle w:val="TableGrid"/>
        <w:tblW w:w="14180" w:type="dxa"/>
        <w:tblInd w:w="-752" w:type="dxa"/>
        <w:tblLayout w:type="fixed"/>
        <w:tblLook w:val="04A0" w:firstRow="1" w:lastRow="0" w:firstColumn="1" w:lastColumn="0" w:noHBand="0" w:noVBand="1"/>
      </w:tblPr>
      <w:tblGrid>
        <w:gridCol w:w="2570"/>
        <w:gridCol w:w="1080"/>
        <w:gridCol w:w="1530"/>
        <w:gridCol w:w="1080"/>
        <w:gridCol w:w="1080"/>
        <w:gridCol w:w="900"/>
        <w:gridCol w:w="1080"/>
        <w:gridCol w:w="4860"/>
      </w:tblGrid>
      <w:tr w:rsidR="002476FB" w:rsidRPr="00F5278A" w:rsidTr="002476FB">
        <w:trPr>
          <w:trHeight w:val="368"/>
        </w:trPr>
        <w:tc>
          <w:tcPr>
            <w:tcW w:w="14180" w:type="dxa"/>
            <w:gridSpan w:val="8"/>
            <w:shd w:val="clear" w:color="auto" w:fill="E5DFEC" w:themeFill="accent4" w:themeFillTint="33"/>
            <w:vAlign w:val="center"/>
          </w:tcPr>
          <w:p w:rsidR="002476FB" w:rsidRPr="00F5278A" w:rsidRDefault="002476FB" w:rsidP="00346A92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2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Table 4. </w:t>
            </w:r>
            <w:r w:rsidRPr="00F5278A">
              <w:rPr>
                <w:rFonts w:asciiTheme="majorBidi" w:hAnsiTheme="majorBidi" w:cstheme="majorBidi"/>
                <w:sz w:val="24"/>
                <w:szCs w:val="24"/>
              </w:rPr>
              <w:t>Characteristics of the included studies in Technical Quality</w:t>
            </w:r>
          </w:p>
        </w:tc>
      </w:tr>
      <w:tr w:rsidR="002476FB" w:rsidRPr="00F5278A" w:rsidTr="002476FB">
        <w:trPr>
          <w:trHeight w:val="260"/>
        </w:trPr>
        <w:tc>
          <w:tcPr>
            <w:tcW w:w="2570" w:type="dxa"/>
            <w:vMerge w:val="restart"/>
            <w:shd w:val="clear" w:color="auto" w:fill="E5DFEC" w:themeFill="accent4" w:themeFillTint="33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F52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 /</w:t>
            </w:r>
          </w:p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F52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080" w:type="dxa"/>
            <w:vMerge w:val="restart"/>
            <w:shd w:val="clear" w:color="auto" w:fill="E5DFEC" w:themeFill="accent4" w:themeFillTint="33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F52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530" w:type="dxa"/>
            <w:vMerge w:val="restart"/>
            <w:shd w:val="clear" w:color="auto" w:fill="E5DFEC" w:themeFill="accent4" w:themeFillTint="33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F52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Care / Disease</w:t>
            </w:r>
          </w:p>
        </w:tc>
        <w:tc>
          <w:tcPr>
            <w:tcW w:w="1080" w:type="dxa"/>
            <w:vMerge w:val="restart"/>
            <w:shd w:val="clear" w:color="auto" w:fill="E5DFEC" w:themeFill="accent4" w:themeFillTint="33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Sample Size</w:t>
            </w:r>
          </w:p>
        </w:tc>
        <w:tc>
          <w:tcPr>
            <w:tcW w:w="3060" w:type="dxa"/>
            <w:gridSpan w:val="3"/>
            <w:shd w:val="clear" w:color="auto" w:fill="E5DFEC" w:themeFill="accent4" w:themeFillTint="33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 care (%)</w:t>
            </w:r>
          </w:p>
        </w:tc>
        <w:tc>
          <w:tcPr>
            <w:tcW w:w="4860" w:type="dxa"/>
            <w:vMerge w:val="restart"/>
            <w:shd w:val="clear" w:color="auto" w:fill="E5DFEC" w:themeFill="accent4" w:themeFillTint="33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b/>
                <w:bCs/>
              </w:rPr>
              <w:t>Main Results</w:t>
            </w:r>
          </w:p>
        </w:tc>
      </w:tr>
      <w:tr w:rsidR="002476FB" w:rsidRPr="00F5278A" w:rsidTr="002476FB">
        <w:trPr>
          <w:trHeight w:val="210"/>
        </w:trPr>
        <w:tc>
          <w:tcPr>
            <w:tcW w:w="2570" w:type="dxa"/>
            <w:vMerge/>
            <w:vAlign w:val="center"/>
          </w:tcPr>
          <w:p w:rsidR="002476FB" w:rsidRPr="00F5278A" w:rsidRDefault="002476FB" w:rsidP="00346A92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476FB" w:rsidRPr="00F5278A" w:rsidRDefault="002476FB" w:rsidP="00346A92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476FB" w:rsidRPr="00F5278A" w:rsidRDefault="002476FB" w:rsidP="00346A92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476FB" w:rsidRPr="00F5278A" w:rsidRDefault="002476FB" w:rsidP="00346A92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5DFEC" w:themeFill="accent4" w:themeFillTint="33"/>
            <w:vAlign w:val="center"/>
          </w:tcPr>
          <w:p w:rsidR="002476FB" w:rsidRPr="00F5278A" w:rsidRDefault="002476FB" w:rsidP="00346A9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Poor and weak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080" w:type="dxa"/>
            <w:shd w:val="clear" w:color="auto" w:fill="E5DFEC" w:themeFill="accent4" w:themeFillTint="33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Good and Excellent</w:t>
            </w:r>
          </w:p>
        </w:tc>
        <w:tc>
          <w:tcPr>
            <w:tcW w:w="4860" w:type="dxa"/>
            <w:vMerge/>
            <w:vAlign w:val="center"/>
          </w:tcPr>
          <w:p w:rsidR="002476FB" w:rsidRPr="00F5278A" w:rsidRDefault="002476FB" w:rsidP="00346A9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476FB" w:rsidRPr="00F5278A" w:rsidTr="002476FB">
        <w:tc>
          <w:tcPr>
            <w:tcW w:w="2570" w:type="dxa"/>
            <w:vAlign w:val="center"/>
          </w:tcPr>
          <w:p w:rsidR="002476FB" w:rsidRPr="00F5278A" w:rsidRDefault="002476FB" w:rsidP="00346A92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Gholipour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K, et al:2016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&lt;EndNote&gt;&lt;Cite&gt;&lt;Author&gt;Gholipour&lt;/Author&gt;&lt;Year&gt;2016&lt;/Year&gt;&lt;RecNum&gt;17&lt;/RecNum&gt;&lt;DisplayText&gt;&lt;style face="superscript"&gt;42&lt;/style&gt;&lt;/DisplayText&gt;&lt;record&gt;&lt;rec-number&gt;17&lt;/rec-number&gt;&lt;foreign-keys&gt;&lt;key app="EN" db-id="s52vaf50ee0xsoeva5dppf0et0pzwtp55ffx" timestamp="1582199748"&gt;17&lt;/key&gt;&lt;/foreign-keys&gt;&lt;ref-type name="Journal Article"&gt;17&lt;/ref-type&gt;&lt;contributors&gt;&lt;authors&gt;&lt;author&gt;Gholipour, K&lt;/author&gt;&lt;author&gt;Tabrizi, JS&lt;/author&gt;&lt;author&gt;Asghari Jafarabadi, M&lt;/author&gt;&lt;author&gt;Iezadi, S&lt;/author&gt;&lt;author&gt;Farshbaf, N&lt;/author&gt;&lt;author&gt;Farzam Rahbar, F&lt;/author&gt;&lt;author&gt;Afsharniya, F&lt;/author&gt;&lt;/authors&gt;&lt;/contributors&gt;&lt;titles&gt;&lt;title&gt;Customer&amp;apos;s self-audit to improve the technical quality of maternity care in Tabriz: a community trial&lt;/title&gt;&lt;secondary-title&gt;EMHJ-Eastern Mediterranean Health Journal&lt;/secondary-title&gt;&lt;/titles&gt;&lt;periodical&gt;&lt;full-title&gt;EMHJ-Eastern Mediterranean Health Journal&lt;/full-title&gt;&lt;/periodical&gt;&lt;pages&gt;309-317&lt;/pages&gt;&lt;volume&gt;22&lt;/volume&gt;&lt;number&gt;5&lt;/number&gt;&lt;dates&gt;&lt;year&gt;2016&lt;/year&gt;&lt;/dates&gt;&lt;isbn&gt;1020-3397&lt;/isbn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42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Tabriz</w:t>
            </w:r>
          </w:p>
        </w:tc>
        <w:tc>
          <w:tcPr>
            <w:tcW w:w="153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Maternity Care</w:t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5278A">
              <w:rPr>
                <w:rFonts w:asciiTheme="majorBidi" w:hAnsiTheme="majorBidi" w:cstheme="majorBidi"/>
              </w:rPr>
              <w:t>6.6</w:t>
            </w:r>
          </w:p>
        </w:tc>
        <w:tc>
          <w:tcPr>
            <w:tcW w:w="90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93.4</w:t>
            </w:r>
          </w:p>
        </w:tc>
        <w:tc>
          <w:tcPr>
            <w:tcW w:w="4860" w:type="dxa"/>
            <w:vAlign w:val="center"/>
          </w:tcPr>
          <w:p w:rsidR="002476FB" w:rsidRPr="00F5278A" w:rsidRDefault="002476FB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Logistic regression analysis showed that the self-assessed technical quality of maternity care received by the women was significantly better in the intervention tha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the control group for several of the standards concerning clinical examinations, maternal education and vitamin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and mineral supplements.</w:t>
            </w:r>
          </w:p>
        </w:tc>
      </w:tr>
      <w:tr w:rsidR="002476FB" w:rsidRPr="00F5278A" w:rsidTr="002476FB">
        <w:tc>
          <w:tcPr>
            <w:tcW w:w="2570" w:type="dxa"/>
            <w:vAlign w:val="center"/>
          </w:tcPr>
          <w:p w:rsidR="002476FB" w:rsidRPr="00F5278A" w:rsidRDefault="002476FB" w:rsidP="00346A92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Wilson, A, et al: 2013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&lt;EndNote&gt;&lt;Cite&gt;&lt;Author&gt;Wilson&lt;/Author&gt;&lt;Year&gt;2013&lt;/Year&gt;&lt;RecNum&gt;18&lt;/RecNum&gt;&lt;DisplayText&gt;&lt;style face="superscript"&gt;43&lt;/style&gt;&lt;/DisplayText&gt;&lt;record&gt;&lt;rec-number&gt;18&lt;/rec-number&gt;&lt;foreign-keys&gt;&lt;key app="EN" db-id="s52vaf50ee0xsoeva5dppf0et0pzwtp55ffx" timestamp="1582199748"&gt;18&lt;/key&gt;&lt;/foreign-keys&gt;&lt;ref-type name="Journal Article"&gt;17&lt;/ref-type&gt;&lt;contributors&gt;&lt;authors&gt;&lt;author&gt;Wilson, Andrew&lt;/author&gt;&lt;author&gt;Tabrizi, Jafar Sadegh&lt;/author&gt;&lt;author&gt;Gholipour, Kamal&lt;/author&gt;&lt;author&gt;Farahbakhsh, Mostafa&lt;/author&gt;&lt;/authors&gt;&lt;/contributors&gt;&lt;titles&gt;&lt;title&gt;Technical quality of maternity care: the pregnant women’s perspective&lt;/title&gt;&lt;secondary-title&gt;Health promotion perspectives&lt;/secondary-title&gt;&lt;/titles&gt;&lt;periodical&gt;&lt;full-title&gt;Health Promotion Perspectives&lt;/full-title&gt;&lt;/periodical&gt;&lt;pages&gt;23&lt;/pages&gt;&lt;volume&gt;3&lt;/volume&gt;&lt;number&gt;1&lt;/number&gt;&lt;dates&gt;&lt;year&gt;2013&lt;/year&gt;&lt;/dates&gt;&lt;urls&gt;&lt;/urls&gt;&lt;/record&gt;&lt;/Cite&gt;&lt;/EndNote&gt;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43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Tabriz</w:t>
            </w:r>
          </w:p>
        </w:tc>
        <w:tc>
          <w:tcPr>
            <w:tcW w:w="153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Maternity Care</w:t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185</w:t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12.4</w:t>
            </w:r>
          </w:p>
        </w:tc>
        <w:tc>
          <w:tcPr>
            <w:tcW w:w="90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87.6</w:t>
            </w:r>
          </w:p>
        </w:tc>
        <w:tc>
          <w:tcPr>
            <w:tcW w:w="4860" w:type="dxa"/>
            <w:vAlign w:val="center"/>
          </w:tcPr>
          <w:p w:rsidR="002476FB" w:rsidRPr="00F5278A" w:rsidRDefault="002476FB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There was no significant relationship between demographic factors and maternity care standards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t>TQ score. Also, based on women’s reports of care during pregnancy, adherence to MOH recommended protocol for maternity care was relatively high for some clinical examination and low for education, supplements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 and Para-clinic examinations.</w:t>
            </w:r>
          </w:p>
        </w:tc>
      </w:tr>
      <w:tr w:rsidR="002476FB" w:rsidRPr="00F5278A" w:rsidTr="002476FB">
        <w:tc>
          <w:tcPr>
            <w:tcW w:w="2570" w:type="dxa"/>
            <w:vAlign w:val="center"/>
          </w:tcPr>
          <w:p w:rsidR="002476FB" w:rsidRPr="00F5278A" w:rsidRDefault="002476FB" w:rsidP="00346A92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Nahangi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, H, et al: 2014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&lt;EndNote&gt;&lt;Cite&gt;&lt;Author&gt;Nahangi&lt;/Author&gt;&lt;Year&gt;2014&lt;/Year&gt;&lt;RecNum&gt;19&lt;/RecNum&gt;&lt;DisplayText&gt;&lt;style face="superscript"&gt;44&lt;/style&gt;&lt;/DisplayText&gt;&lt;record&gt;&lt;rec-number&gt;19&lt;/rec-number&gt;&lt;foreign-keys&gt;&lt;key app="EN" db-id="s52vaf50ee0xsoeva5dppf0et0pzwtp55ffx" timestamp="1582199748"&gt;19&lt;/key&gt;&lt;/foreign-keys&gt;&lt;ref-type name="Journal Article"&gt;17&lt;/ref-type&gt;&lt;contributors&gt;&lt;authors&gt;&lt;author&gt;Nahangi, Hossein&lt;/author&gt;&lt;author&gt;Mottaghi, Payman&lt;/author&gt;&lt;author&gt;Gholipour, Kamal&lt;/author&gt;&lt;author&gt;Shokri, Azad&lt;/author&gt;&lt;author&gt;Fattahi, Hamed&lt;/author&gt;&lt;author&gt;Iezadi, Shabnam&lt;/author&gt;&lt;author&gt;Niknam, Noureddin&lt;/author&gt;&lt;/authors&gt;&lt;/contributors&gt;&lt;titles&gt;&lt;title&gt;Technical quality of rheumatoid arthritis care: the patient perspective&lt;/title&gt;&lt;secondary-title&gt;Global Journal of Medicine Researches and Studies&lt;/secondary-title&gt;&lt;/titles&gt;&lt;periodical&gt;&lt;full-title&gt;Global Journal of Medicine Researches and Studies&lt;/full-title&gt;&lt;/periodical&gt;&lt;pages&gt;45-50&lt;/pages&gt;&lt;volume&gt;1&lt;/volume&gt;&lt;number&gt;2&lt;/number&gt;&lt;dates&gt;&lt;year&gt;2014&lt;/year&gt;&lt;/dates&gt;&lt;urls&gt;&lt;/urls&gt;&lt;/record&gt;&lt;/Cite&gt;&lt;/EndNote&gt;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44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Isfahan</w:t>
            </w:r>
          </w:p>
        </w:tc>
        <w:tc>
          <w:tcPr>
            <w:tcW w:w="153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Rheumatoid Arthritis Care</w:t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172</w:t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26.5</w:t>
            </w:r>
          </w:p>
        </w:tc>
        <w:tc>
          <w:tcPr>
            <w:tcW w:w="90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73.5</w:t>
            </w:r>
          </w:p>
        </w:tc>
        <w:tc>
          <w:tcPr>
            <w:tcW w:w="4860" w:type="dxa"/>
            <w:vAlign w:val="center"/>
          </w:tcPr>
          <w:p w:rsidR="002476FB" w:rsidRPr="00F5278A" w:rsidRDefault="002476FB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Technical quality had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a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t>significant relationship with age and patients with complications reported higher TQ score than who haven’t complications. Overall technical quality for people with rheumatoid arthritis was relatively low.</w:t>
            </w:r>
          </w:p>
        </w:tc>
      </w:tr>
      <w:tr w:rsidR="002476FB" w:rsidRPr="00F5278A" w:rsidTr="002476FB">
        <w:tc>
          <w:tcPr>
            <w:tcW w:w="2570" w:type="dxa"/>
            <w:vAlign w:val="center"/>
          </w:tcPr>
          <w:p w:rsidR="002476FB" w:rsidRPr="00F5278A" w:rsidRDefault="002476FB" w:rsidP="00346A92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5278A">
              <w:rPr>
                <w:rFonts w:asciiTheme="majorBidi" w:hAnsiTheme="majorBidi" w:cstheme="majorBidi"/>
                <w:sz w:val="20"/>
                <w:szCs w:val="20"/>
              </w:rPr>
              <w:t>Tabrizi</w:t>
            </w:r>
            <w:proofErr w:type="spellEnd"/>
            <w:r w:rsidRPr="00F5278A">
              <w:rPr>
                <w:rFonts w:asciiTheme="majorBidi" w:hAnsiTheme="majorBidi" w:cstheme="majorBidi"/>
                <w:sz w:val="20"/>
                <w:szCs w:val="20"/>
              </w:rPr>
              <w:t xml:space="preserve">, JS, et al: 2015 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&lt;EndNote&gt;&lt;Cite&gt;&lt;Author&gt;Tabrizi&lt;/Author&gt;&lt;Year&gt;2015&lt;/Year&gt;&lt;RecNum&gt;20&lt;/RecNum&gt;&lt;DisplayText&gt;&lt;style face="superscript"&gt;45&lt;/style&gt;&lt;/DisplayText&gt;&lt;record&gt;&lt;rec-number&gt;20&lt;/rec-number&gt;&lt;foreign-keys&gt;&lt;key app="EN" db-id="s52vaf50ee0xsoeva5dppf0et0pzwtp55ffx" timestamp="1582199748"&gt;20&lt;/key&gt;&lt;/foreign-keys&gt;&lt;ref-type name="Journal Article"&gt;17&lt;/ref-type&gt;&lt;contributors&gt;&lt;authors&gt;&lt;author&gt;Tabrizi, Jafar Sadegh&lt;/author&gt;&lt;author&gt;Somi, Mohammad Hossein&lt;/author&gt;&lt;author&gt;Asghari, Sima&lt;/author&gt;&lt;author&gt;Jafarabadi, Mohammad Asghari&lt;/author&gt;&lt;author&gt;Gharibi, Farid&lt;/author&gt;&lt;author&gt;Alidoost, Saeideh&lt;/author&gt;&lt;/authors&gt;&lt;/contributors&gt;&lt;titles&gt;&lt;title&gt;The Technical Quality of Delivered Care for People with Inflammatory Bowel Disease in Tabriz Gastroenterology Clinics&lt;/title&gt;&lt;secondary-title&gt;Health promotion perspectives&lt;/secondary-title&gt;&lt;/titles&gt;&lt;periodical&gt;&lt;full-title&gt;Health Promotion Perspectives&lt;/full-title&gt;&lt;/periodical&gt;&lt;pages&gt;198&lt;/pages&gt;&lt;volume&gt;5&lt;/volume&gt;&lt;number&gt;3&lt;/number&gt;&lt;dates&gt;&lt;year&gt;2015&lt;/year&gt;&lt;/dates&gt;&lt;urls&gt;&lt;/urls&gt;&lt;/record&gt;&lt;/Cite&gt;&lt;/EndNote&gt;</w:instrTex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C9387E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45</w:t>
            </w:r>
            <w:r w:rsidRPr="00F5278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Tabriz</w:t>
            </w:r>
          </w:p>
        </w:tc>
        <w:tc>
          <w:tcPr>
            <w:tcW w:w="153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Inflammatory Bowel Disease</w:t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11.8</w:t>
            </w:r>
          </w:p>
        </w:tc>
        <w:tc>
          <w:tcPr>
            <w:tcW w:w="90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32.3</w:t>
            </w:r>
          </w:p>
        </w:tc>
        <w:tc>
          <w:tcPr>
            <w:tcW w:w="1080" w:type="dxa"/>
            <w:vAlign w:val="center"/>
          </w:tcPr>
          <w:p w:rsidR="002476FB" w:rsidRPr="00F5278A" w:rsidRDefault="002476FB" w:rsidP="00346A92">
            <w:pPr>
              <w:jc w:val="center"/>
              <w:rPr>
                <w:rFonts w:asciiTheme="majorBidi" w:hAnsiTheme="majorBidi" w:cstheme="majorBidi"/>
              </w:rPr>
            </w:pPr>
            <w:r w:rsidRPr="00F5278A">
              <w:rPr>
                <w:rFonts w:asciiTheme="majorBidi" w:hAnsiTheme="majorBidi" w:cstheme="majorBidi"/>
              </w:rPr>
              <w:t>55.9</w:t>
            </w:r>
          </w:p>
        </w:tc>
        <w:tc>
          <w:tcPr>
            <w:tcW w:w="4860" w:type="dxa"/>
            <w:vAlign w:val="center"/>
          </w:tcPr>
          <w:p w:rsidR="002476FB" w:rsidRPr="00F5278A" w:rsidRDefault="002476FB" w:rsidP="00346A9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5278A">
              <w:rPr>
                <w:rFonts w:asciiTheme="majorBidi" w:hAnsiTheme="majorBidi" w:cstheme="majorBidi"/>
                <w:sz w:val="20"/>
                <w:szCs w:val="20"/>
              </w:rPr>
              <w:t>The results showed a substantial gap between provided care for the people with Inflammatory Bowel Disease and the relevant standards.</w:t>
            </w:r>
          </w:p>
        </w:tc>
      </w:tr>
    </w:tbl>
    <w:p w:rsidR="002476FB" w:rsidRDefault="002476FB">
      <w:pPr>
        <w:rPr>
          <w:rtl/>
        </w:rPr>
        <w:sectPr w:rsidR="002476FB" w:rsidSect="0074410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D90407" w:rsidRDefault="00D90407"/>
    <w:tbl>
      <w:tblPr>
        <w:tblStyle w:val="TableGrid"/>
        <w:tblpPr w:leftFromText="180" w:rightFromText="180" w:vertAnchor="page" w:horzAnchor="margin" w:tblpXSpec="center" w:tblpY="3213"/>
        <w:bidiVisual/>
        <w:tblW w:w="10051" w:type="dxa"/>
        <w:tblLayout w:type="fixed"/>
        <w:tblLook w:val="04A0" w:firstRow="1" w:lastRow="0" w:firstColumn="1" w:lastColumn="0" w:noHBand="0" w:noVBand="1"/>
      </w:tblPr>
      <w:tblGrid>
        <w:gridCol w:w="850"/>
        <w:gridCol w:w="921"/>
        <w:gridCol w:w="1080"/>
        <w:gridCol w:w="540"/>
        <w:gridCol w:w="938"/>
        <w:gridCol w:w="862"/>
        <w:gridCol w:w="1080"/>
        <w:gridCol w:w="900"/>
        <w:gridCol w:w="2880"/>
      </w:tblGrid>
      <w:tr w:rsidR="008F1070" w:rsidRPr="00F5278A" w:rsidTr="00D8027F">
        <w:trPr>
          <w:trHeight w:val="257"/>
        </w:trPr>
        <w:tc>
          <w:tcPr>
            <w:tcW w:w="100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ind w:righ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Table 5. </w:t>
            </w: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Mean scores related to the service quality dimensions in Iran</w:t>
            </w:r>
          </w:p>
        </w:tc>
      </w:tr>
      <w:tr w:rsidR="008F1070" w:rsidRPr="00F5278A" w:rsidTr="00D8027F"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F1070" w:rsidRPr="00F5278A" w:rsidRDefault="008F1070" w:rsidP="00D8027F">
            <w:pPr>
              <w:bidi w:val="0"/>
              <w:spacing w:line="276" w:lineRule="auto"/>
              <w:ind w:right="27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Heterogeneity test(95% CI)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Dimension statues (95% CI)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F1070" w:rsidRPr="00F5278A" w:rsidRDefault="008F1070" w:rsidP="00D8027F">
            <w:pPr>
              <w:bidi w:val="0"/>
              <w:spacing w:line="276" w:lineRule="auto"/>
              <w:ind w:right="36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Dimensions</w:t>
            </w:r>
          </w:p>
        </w:tc>
      </w:tr>
      <w:tr w:rsidR="008F1070" w:rsidRPr="00F5278A" w:rsidTr="00D80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Pr="00F5278A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P-Value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Q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A"/>
              </w:rPr>
            </w:pPr>
            <w:proofErr w:type="spellStart"/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Upper limit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Lower limit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Variance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SA"/>
              </w:rPr>
            </w:pPr>
          </w:p>
        </w:tc>
      </w:tr>
      <w:tr w:rsidR="008F1070" w:rsidRPr="00F5278A" w:rsidTr="00D8027F">
        <w:trPr>
          <w:trHeight w:val="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95.287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190.962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9.060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8.597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ind w:right="36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Choice of care provider</w:t>
            </w:r>
          </w:p>
        </w:tc>
      </w:tr>
      <w:tr w:rsidR="008F1070" w:rsidRPr="00F5278A" w:rsidTr="00D80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98.266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518.918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8.949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7.750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8.350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Communication</w:t>
            </w:r>
          </w:p>
        </w:tc>
      </w:tr>
      <w:tr w:rsidR="008F1070" w:rsidRPr="00F5278A" w:rsidTr="00D80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90.788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97.696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7.749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8.160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Autonomy</w:t>
            </w:r>
          </w:p>
        </w:tc>
      </w:tr>
      <w:tr w:rsidR="008F1070" w:rsidRPr="00F5278A" w:rsidTr="00D8027F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99.092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880.866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8.979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6.733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0.328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7.856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Continuity</w:t>
            </w:r>
          </w:p>
        </w:tc>
      </w:tr>
      <w:tr w:rsidR="008F1070" w:rsidRPr="00F5278A" w:rsidTr="00D80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99.185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858.823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7.685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4.154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0.812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5.920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ind w:right="360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Support group</w:t>
            </w:r>
          </w:p>
        </w:tc>
      </w:tr>
      <w:tr w:rsidR="008F1070" w:rsidRPr="00F5278A" w:rsidTr="00D80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97.682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388.296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8.966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7.783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8.374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Quality of basic amenities</w:t>
            </w:r>
          </w:p>
        </w:tc>
      </w:tr>
      <w:tr w:rsidR="008F1070" w:rsidRPr="00F5278A" w:rsidTr="00D80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97.961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441.462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8.733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7.362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8.047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Dignity</w:t>
            </w:r>
          </w:p>
        </w:tc>
      </w:tr>
      <w:tr w:rsidR="008F1070" w:rsidRPr="00F5278A" w:rsidTr="00D80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98.833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771.464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8.507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6.990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7.749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Prompt attention</w:t>
            </w:r>
          </w:p>
        </w:tc>
      </w:tr>
      <w:tr w:rsidR="008F1070" w:rsidRPr="00F5278A" w:rsidTr="00D80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96.241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239.397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7.843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6.657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7.250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Safety</w:t>
            </w:r>
          </w:p>
        </w:tc>
      </w:tr>
      <w:tr w:rsidR="008F1070" w:rsidRPr="00F5278A" w:rsidTr="00D80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98.514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538.431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8.344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6.246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0.286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7.295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Prevention/early detection</w:t>
            </w:r>
          </w:p>
        </w:tc>
      </w:tr>
      <w:tr w:rsidR="008F1070" w:rsidRPr="00F5278A" w:rsidTr="00D80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96.930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293.155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8.599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7.264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7.931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Accessibility</w:t>
            </w:r>
          </w:p>
        </w:tc>
      </w:tr>
      <w:tr w:rsidR="008F1070" w:rsidRPr="00F5278A" w:rsidTr="00D80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85.509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48.305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9.795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9.795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0.015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</w:rPr>
              <w:t>9.558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A"/>
              </w:rPr>
            </w:pPr>
            <w:r w:rsidRPr="00F5278A">
              <w:rPr>
                <w:rFonts w:asciiTheme="majorBidi" w:eastAsia="Times New Roman" w:hAnsiTheme="majorBidi" w:cstheme="majorBidi"/>
                <w:sz w:val="24"/>
                <w:szCs w:val="24"/>
              </w:rPr>
              <w:t>Confidentiality</w:t>
            </w:r>
          </w:p>
        </w:tc>
      </w:tr>
      <w:tr w:rsidR="008F1070" w:rsidRPr="00F5278A" w:rsidTr="00D802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</w:rPr>
              <w:t>98.275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</w:rPr>
              <w:t>659.456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</w:rPr>
              <w:t>8.125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</w:rPr>
              <w:t>7.456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</w:rPr>
              <w:t>0.029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</w:rPr>
              <w:t>7.790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70" w:rsidRPr="00F5278A" w:rsidRDefault="008F1070" w:rsidP="00D8027F">
            <w:pPr>
              <w:bidi w:val="0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527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Services Quality</w:t>
            </w:r>
          </w:p>
        </w:tc>
      </w:tr>
    </w:tbl>
    <w:p w:rsidR="008E6A56" w:rsidRDefault="008E6A56">
      <w:pPr>
        <w:rPr>
          <w:rtl/>
        </w:rPr>
      </w:pPr>
    </w:p>
    <w:p w:rsidR="008E6A56" w:rsidRDefault="008E6A56"/>
    <w:p w:rsidR="008E6A56" w:rsidRDefault="008E6A56"/>
    <w:p w:rsidR="008E6A56" w:rsidRDefault="008E6A56">
      <w:pPr>
        <w:rPr>
          <w:rtl/>
        </w:rPr>
      </w:pPr>
    </w:p>
    <w:sectPr w:rsidR="008E6A56" w:rsidSect="00D9040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2vaf50ee0xsoeva5dppf0et0pzwtp55ffx&quot;&gt;Untitled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88&lt;/item&gt;&lt;/record-ids&gt;&lt;/item&gt;&lt;/Libraries&gt;"/>
  </w:docVars>
  <w:rsids>
    <w:rsidRoot w:val="00CB7924"/>
    <w:rsid w:val="00060F2B"/>
    <w:rsid w:val="000C614E"/>
    <w:rsid w:val="002476FB"/>
    <w:rsid w:val="006A501B"/>
    <w:rsid w:val="00744103"/>
    <w:rsid w:val="008E6A56"/>
    <w:rsid w:val="008F1070"/>
    <w:rsid w:val="00AD51C1"/>
    <w:rsid w:val="00C6600A"/>
    <w:rsid w:val="00C8545D"/>
    <w:rsid w:val="00C95C71"/>
    <w:rsid w:val="00CB7924"/>
    <w:rsid w:val="00D516CF"/>
    <w:rsid w:val="00D90407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84BE"/>
  <w15:docId w15:val="{9FF6AFDD-BFD7-4177-91B0-AC491398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0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10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E6A5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6A56"/>
    <w:rPr>
      <w:rFonts w:ascii="Calibri" w:hAnsi="Calibri" w:cs="Calibri"/>
      <w:noProof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8E6A5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6A56"/>
    <w:rPr>
      <w:rFonts w:ascii="Calibri" w:hAnsi="Calibri" w:cs="Calibri"/>
      <w:noProof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Mojahed</cp:lastModifiedBy>
  <cp:revision>7</cp:revision>
  <dcterms:created xsi:type="dcterms:W3CDTF">2020-11-11T15:02:00Z</dcterms:created>
  <dcterms:modified xsi:type="dcterms:W3CDTF">2020-11-21T18:50:00Z</dcterms:modified>
</cp:coreProperties>
</file>