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8" w:rsidRPr="000474CA" w:rsidRDefault="000A4294" w:rsidP="005B001C">
      <w:pPr>
        <w:rPr>
          <w:lang w:val="en-US"/>
        </w:rPr>
      </w:pPr>
      <w:bookmarkStart w:id="0" w:name="_GoBack"/>
      <w:r w:rsidRPr="000474CA">
        <w:rPr>
          <w:lang w:val="en-US"/>
        </w:rPr>
        <w:t>Additional file</w:t>
      </w:r>
      <w:r w:rsidR="00354318" w:rsidRPr="000474CA">
        <w:t xml:space="preserve"> 5: Medical Fields</w:t>
      </w:r>
    </w:p>
    <w:tbl>
      <w:tblPr>
        <w:tblStyle w:val="Tabellenraster"/>
        <w:tblW w:w="9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8"/>
        <w:gridCol w:w="1560"/>
        <w:gridCol w:w="1842"/>
        <w:gridCol w:w="1701"/>
        <w:gridCol w:w="1843"/>
      </w:tblGrid>
      <w:tr w:rsidR="00354318" w:rsidRPr="00107732" w:rsidTr="00727928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bookmarkEnd w:id="0"/>
          <w:p w:rsidR="00354318" w:rsidRPr="00107732" w:rsidRDefault="00354318" w:rsidP="009864E7">
            <w:pPr>
              <w:rPr>
                <w:b/>
                <w:sz w:val="20"/>
                <w:szCs w:val="20"/>
                <w:lang w:val="en-US"/>
              </w:rPr>
            </w:pPr>
            <w:r w:rsidRPr="00107732">
              <w:rPr>
                <w:b/>
                <w:sz w:val="20"/>
                <w:szCs w:val="20"/>
                <w:lang w:val="en-US"/>
              </w:rPr>
              <w:t>Medical Fields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4318" w:rsidRPr="00107732" w:rsidRDefault="00354318" w:rsidP="009864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Total number of trials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54318" w:rsidRPr="00107732" w:rsidRDefault="00354318" w:rsidP="009864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Number of published trials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Percent of published trials per medical field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4318" w:rsidRPr="00107732" w:rsidRDefault="00354318" w:rsidP="009864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07732">
              <w:rPr>
                <w:rFonts w:cstheme="minorHAnsi"/>
                <w:b/>
                <w:sz w:val="20"/>
                <w:szCs w:val="20"/>
                <w:lang w:val="en-US"/>
              </w:rPr>
              <w:t>95 % CI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560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842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0.515-0.709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Psychiatry and Psychotherapy</w:t>
            </w:r>
          </w:p>
        </w:tc>
        <w:tc>
          <w:tcPr>
            <w:tcW w:w="1560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842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843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0.742-0.908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Cardiovascular disease</w:t>
            </w:r>
          </w:p>
        </w:tc>
        <w:tc>
          <w:tcPr>
            <w:tcW w:w="1560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0.610-0.848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Endocrinology, diabetes, and metabolism</w:t>
            </w:r>
          </w:p>
        </w:tc>
        <w:tc>
          <w:tcPr>
            <w:tcW w:w="1560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3" w:type="dxa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0.545-0.839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Ophthalmology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0.124-0.403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Respiratory System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0.588-0.873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Neurology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0.726-0.957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proofErr w:type="spellStart"/>
            <w:r w:rsidRPr="00107732">
              <w:rPr>
                <w:sz w:val="20"/>
                <w:szCs w:val="20"/>
                <w:lang w:val="en-US"/>
              </w:rPr>
              <w:t>Paediatric</w:t>
            </w:r>
            <w:proofErr w:type="spellEnd"/>
            <w:r w:rsidRPr="00107732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07732">
              <w:rPr>
                <w:sz w:val="20"/>
                <w:szCs w:val="20"/>
                <w:lang w:val="en-US"/>
              </w:rPr>
              <w:t>Juenile</w:t>
            </w:r>
            <w:proofErr w:type="spellEnd"/>
            <w:r w:rsidRPr="00107732">
              <w:rPr>
                <w:sz w:val="20"/>
                <w:szCs w:val="20"/>
                <w:lang w:val="en-US"/>
              </w:rPr>
              <w:t xml:space="preserve"> Medicine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0.530-0.841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Hematology / oncology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0.556-0.871</w:t>
            </w:r>
          </w:p>
        </w:tc>
      </w:tr>
      <w:tr w:rsidR="00354318" w:rsidRPr="00107732" w:rsidTr="009864E7">
        <w:trPr>
          <w:trHeight w:val="6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proofErr w:type="spellStart"/>
            <w:r w:rsidRPr="00107732">
              <w:rPr>
                <w:sz w:val="20"/>
                <w:szCs w:val="20"/>
                <w:lang w:val="en-US"/>
              </w:rPr>
              <w:t>Gynaecology</w:t>
            </w:r>
            <w:proofErr w:type="spellEnd"/>
            <w:r w:rsidRPr="00107732">
              <w:rPr>
                <w:sz w:val="20"/>
                <w:szCs w:val="20"/>
                <w:lang w:val="en-US"/>
              </w:rPr>
              <w:t xml:space="preserve"> and Obstetrics, </w:t>
            </w:r>
            <w:proofErr w:type="spellStart"/>
            <w:r w:rsidRPr="00107732">
              <w:rPr>
                <w:sz w:val="20"/>
                <w:szCs w:val="20"/>
                <w:lang w:val="en-US"/>
              </w:rPr>
              <w:t>Gynaecological</w:t>
            </w:r>
            <w:proofErr w:type="spellEnd"/>
            <w:r w:rsidRPr="00107732">
              <w:rPr>
                <w:sz w:val="20"/>
                <w:szCs w:val="20"/>
                <w:lang w:val="en-US"/>
              </w:rPr>
              <w:t xml:space="preserve"> Endocrinology and Reproductive Medicine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0.603-0.920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Dermatological and Venereal Diseases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0.406-0.785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Infectious disease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0.506-0.879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Physical and Rehabilitative Medicine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0.447-0.844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Nephrology/Urology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0.256-0.672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Gastro-intestinal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0.410-0.867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Family medicine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0.251-0.808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proofErr w:type="spellStart"/>
            <w:r w:rsidRPr="00107732">
              <w:rPr>
                <w:sz w:val="20"/>
                <w:szCs w:val="20"/>
                <w:lang w:val="en-US"/>
              </w:rPr>
              <w:t>Orthopaedics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0.152-0.723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0.308-0.891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0.348-0.933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Otorhinolaryngology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0.085-0.755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Allergy &amp; Immunology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theme="minorHAns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0.284-0.995</w:t>
            </w:r>
          </w:p>
        </w:tc>
      </w:tr>
      <w:tr w:rsidR="00354318" w:rsidRPr="00107732" w:rsidTr="009864E7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Pathology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0.158*-1.000</w:t>
            </w:r>
          </w:p>
        </w:tc>
      </w:tr>
      <w:tr w:rsidR="00354318" w:rsidRPr="00107732" w:rsidTr="00727928">
        <w:trPr>
          <w:trHeight w:val="30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proofErr w:type="spellStart"/>
            <w:r w:rsidRPr="00107732">
              <w:rPr>
                <w:sz w:val="20"/>
                <w:szCs w:val="20"/>
                <w:lang w:val="en-US"/>
              </w:rPr>
              <w:t>Anaesthesiology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0.013-0.987</w:t>
            </w:r>
          </w:p>
        </w:tc>
      </w:tr>
      <w:tr w:rsidR="00354318" w:rsidRPr="00107732" w:rsidTr="00727928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354318" w:rsidRPr="00107732" w:rsidRDefault="00354318" w:rsidP="009864E7">
            <w:pPr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691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318" w:rsidRPr="00107732" w:rsidRDefault="00354318" w:rsidP="009864E7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73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4318" w:rsidRPr="00107732" w:rsidRDefault="00354318" w:rsidP="009864E7">
            <w:pPr>
              <w:jc w:val="right"/>
              <w:rPr>
                <w:sz w:val="20"/>
                <w:szCs w:val="20"/>
                <w:lang w:val="en-US"/>
              </w:rPr>
            </w:pPr>
            <w:r w:rsidRPr="00107732">
              <w:rPr>
                <w:sz w:val="20"/>
                <w:szCs w:val="20"/>
                <w:lang w:val="en-US"/>
              </w:rPr>
              <w:t>0.647-0.7176</w:t>
            </w:r>
          </w:p>
        </w:tc>
      </w:tr>
    </w:tbl>
    <w:p w:rsidR="00354318" w:rsidRDefault="00354318" w:rsidP="00354318">
      <w:pPr>
        <w:spacing w:line="360" w:lineRule="auto"/>
        <w:rPr>
          <w:lang w:val="en-US"/>
        </w:rPr>
      </w:pPr>
      <w:r>
        <w:rPr>
          <w:lang w:val="en-US"/>
        </w:rPr>
        <w:t>*</w:t>
      </w:r>
      <w:r w:rsidRPr="005E4DFD">
        <w:rPr>
          <w:lang w:val="en-US"/>
        </w:rPr>
        <w:t xml:space="preserve">One-sided 97.5% confidence interval. </w:t>
      </w:r>
    </w:p>
    <w:p w:rsidR="00354318" w:rsidRPr="00B961C2" w:rsidRDefault="00354318" w:rsidP="00895747">
      <w:pPr>
        <w:rPr>
          <w:lang w:val="en-US"/>
        </w:rPr>
      </w:pPr>
      <w:r>
        <w:rPr>
          <w:lang w:val="en-US"/>
        </w:rPr>
        <w:t xml:space="preserve">For each trial, we determined the medical field </w:t>
      </w:r>
      <w:r w:rsidR="009E3CC6" w:rsidRPr="002A3B5D">
        <w:rPr>
          <w:lang w:val="en-US"/>
        </w:rPr>
        <w:t>according to the slightly modified version of the medical fields specified in the “(Model) Specialty Training Regulations 2003” of the German Medical Association</w:t>
      </w:r>
      <w:r w:rsidR="009E3CC6">
        <w:rPr>
          <w:lang w:val="en-US"/>
        </w:rPr>
        <w:t>.</w:t>
      </w:r>
    </w:p>
    <w:sectPr w:rsidR="00354318" w:rsidRPr="00B96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0E" w:rsidRDefault="0084580E" w:rsidP="00657EA5">
      <w:pPr>
        <w:spacing w:after="0" w:line="240" w:lineRule="auto"/>
      </w:pPr>
      <w:r>
        <w:separator/>
      </w:r>
    </w:p>
  </w:endnote>
  <w:endnote w:type="continuationSeparator" w:id="0">
    <w:p w:rsidR="0084580E" w:rsidRDefault="0084580E" w:rsidP="006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0E" w:rsidRDefault="0084580E" w:rsidP="00657EA5">
      <w:pPr>
        <w:spacing w:after="0" w:line="240" w:lineRule="auto"/>
      </w:pPr>
      <w:r>
        <w:separator/>
      </w:r>
    </w:p>
  </w:footnote>
  <w:footnote w:type="continuationSeparator" w:id="0">
    <w:p w:rsidR="0084580E" w:rsidRDefault="0084580E" w:rsidP="006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5"/>
    <w:rsid w:val="00026B29"/>
    <w:rsid w:val="0004134A"/>
    <w:rsid w:val="000474CA"/>
    <w:rsid w:val="00062E88"/>
    <w:rsid w:val="00072B0B"/>
    <w:rsid w:val="000930BC"/>
    <w:rsid w:val="000955BC"/>
    <w:rsid w:val="00095E97"/>
    <w:rsid w:val="000A4294"/>
    <w:rsid w:val="000C261C"/>
    <w:rsid w:val="000C7AFF"/>
    <w:rsid w:val="001012D7"/>
    <w:rsid w:val="00107732"/>
    <w:rsid w:val="00146A90"/>
    <w:rsid w:val="00162A6F"/>
    <w:rsid w:val="00202EA9"/>
    <w:rsid w:val="0022451F"/>
    <w:rsid w:val="002735A1"/>
    <w:rsid w:val="00275397"/>
    <w:rsid w:val="00280FBA"/>
    <w:rsid w:val="00284161"/>
    <w:rsid w:val="0029432D"/>
    <w:rsid w:val="0032022F"/>
    <w:rsid w:val="00330CBC"/>
    <w:rsid w:val="00345FCB"/>
    <w:rsid w:val="00354318"/>
    <w:rsid w:val="003619B8"/>
    <w:rsid w:val="00372BDD"/>
    <w:rsid w:val="003E1C6A"/>
    <w:rsid w:val="00407101"/>
    <w:rsid w:val="00434877"/>
    <w:rsid w:val="004375D1"/>
    <w:rsid w:val="004609F8"/>
    <w:rsid w:val="00481658"/>
    <w:rsid w:val="00484AD4"/>
    <w:rsid w:val="0049514C"/>
    <w:rsid w:val="00526E58"/>
    <w:rsid w:val="0054605B"/>
    <w:rsid w:val="0057060F"/>
    <w:rsid w:val="0058300A"/>
    <w:rsid w:val="00586ACF"/>
    <w:rsid w:val="00587B0D"/>
    <w:rsid w:val="005B001C"/>
    <w:rsid w:val="005B435E"/>
    <w:rsid w:val="005D62AC"/>
    <w:rsid w:val="005E4DFD"/>
    <w:rsid w:val="0063146C"/>
    <w:rsid w:val="0063741C"/>
    <w:rsid w:val="00645092"/>
    <w:rsid w:val="006524CF"/>
    <w:rsid w:val="00657EA5"/>
    <w:rsid w:val="00671B6E"/>
    <w:rsid w:val="006A0C1C"/>
    <w:rsid w:val="006A7AA1"/>
    <w:rsid w:val="006B34D3"/>
    <w:rsid w:val="006E314F"/>
    <w:rsid w:val="007161FB"/>
    <w:rsid w:val="00727928"/>
    <w:rsid w:val="00770F16"/>
    <w:rsid w:val="007758BC"/>
    <w:rsid w:val="0078435B"/>
    <w:rsid w:val="007E2115"/>
    <w:rsid w:val="0084580E"/>
    <w:rsid w:val="00852AEB"/>
    <w:rsid w:val="008839E6"/>
    <w:rsid w:val="00895747"/>
    <w:rsid w:val="008961CF"/>
    <w:rsid w:val="008F23E7"/>
    <w:rsid w:val="0090639C"/>
    <w:rsid w:val="009464E8"/>
    <w:rsid w:val="00974D23"/>
    <w:rsid w:val="00977453"/>
    <w:rsid w:val="009E3CC6"/>
    <w:rsid w:val="00A06E19"/>
    <w:rsid w:val="00A51231"/>
    <w:rsid w:val="00A65FC6"/>
    <w:rsid w:val="00AD2229"/>
    <w:rsid w:val="00B005D2"/>
    <w:rsid w:val="00B961C2"/>
    <w:rsid w:val="00BA04B2"/>
    <w:rsid w:val="00BF3551"/>
    <w:rsid w:val="00C02D40"/>
    <w:rsid w:val="00C36D0A"/>
    <w:rsid w:val="00C454C4"/>
    <w:rsid w:val="00C83D72"/>
    <w:rsid w:val="00CE664B"/>
    <w:rsid w:val="00D04A7E"/>
    <w:rsid w:val="00D12B67"/>
    <w:rsid w:val="00D1605F"/>
    <w:rsid w:val="00D365CE"/>
    <w:rsid w:val="00D40219"/>
    <w:rsid w:val="00D708A1"/>
    <w:rsid w:val="00DD37C7"/>
    <w:rsid w:val="00DE431B"/>
    <w:rsid w:val="00DF47EB"/>
    <w:rsid w:val="00E05E63"/>
    <w:rsid w:val="00E10FEA"/>
    <w:rsid w:val="00E14070"/>
    <w:rsid w:val="00E42016"/>
    <w:rsid w:val="00E456D9"/>
    <w:rsid w:val="00E47DC4"/>
    <w:rsid w:val="00E6504E"/>
    <w:rsid w:val="00E662F0"/>
    <w:rsid w:val="00ED2525"/>
    <w:rsid w:val="00EF085F"/>
    <w:rsid w:val="00F118F9"/>
    <w:rsid w:val="00F1252F"/>
    <w:rsid w:val="00F150ED"/>
    <w:rsid w:val="00F43496"/>
    <w:rsid w:val="00F44562"/>
    <w:rsid w:val="00F44AA1"/>
    <w:rsid w:val="00F70C48"/>
    <w:rsid w:val="00F95807"/>
    <w:rsid w:val="00FB34FC"/>
    <w:rsid w:val="00FB382B"/>
    <w:rsid w:val="00FC6A4F"/>
    <w:rsid w:val="00FD2D3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D0C6-26AE-4DDC-ACCE-9D6052B5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Bluemle</dc:creator>
  <cp:lastModifiedBy>Anette Bluemle</cp:lastModifiedBy>
  <cp:revision>6</cp:revision>
  <dcterms:created xsi:type="dcterms:W3CDTF">2020-10-26T13:03:00Z</dcterms:created>
  <dcterms:modified xsi:type="dcterms:W3CDTF">2020-10-26T13:15:00Z</dcterms:modified>
</cp:coreProperties>
</file>