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9F" w:rsidRPr="00630C67" w:rsidRDefault="0007689F" w:rsidP="0007689F">
      <w:pPr>
        <w:spacing w:before="0" w:line="480" w:lineRule="auto"/>
        <w:jc w:val="both"/>
        <w:rPr>
          <w:rFonts w:ascii="Arial" w:hAnsi="Arial" w:cs="Arial"/>
          <w:color w:val="000000" w:themeColor="text1"/>
          <w:sz w:val="24"/>
          <w:szCs w:val="24"/>
        </w:rPr>
      </w:pPr>
      <w:bookmarkStart w:id="0" w:name="OLE_LINK77"/>
      <w:bookmarkStart w:id="1" w:name="OLE_LINK78"/>
      <w:r w:rsidRPr="00630C67">
        <w:rPr>
          <w:rFonts w:ascii="Arial" w:hAnsi="Arial" w:cs="Arial"/>
          <w:color w:val="000000" w:themeColor="text1"/>
          <w:sz w:val="24"/>
          <w:szCs w:val="24"/>
        </w:rPr>
        <w:t>Supplementary methods</w:t>
      </w:r>
      <w:bookmarkEnd w:id="0"/>
      <w:bookmarkEnd w:id="1"/>
      <w:r w:rsidRPr="00630C67">
        <w:rPr>
          <w:rFonts w:ascii="Arial" w:hAnsi="Arial" w:cs="Arial"/>
          <w:color w:val="000000" w:themeColor="text1"/>
          <w:sz w:val="24"/>
          <w:szCs w:val="24"/>
        </w:rPr>
        <w:t>:</w:t>
      </w:r>
    </w:p>
    <w:p w:rsidR="0007689F" w:rsidRPr="00630C67" w:rsidRDefault="0007689F" w:rsidP="0007689F">
      <w:pPr>
        <w:spacing w:before="0" w:line="480" w:lineRule="auto"/>
        <w:jc w:val="both"/>
        <w:rPr>
          <w:rFonts w:ascii="Arial" w:hAnsi="Arial" w:cs="Arial"/>
          <w:caps/>
          <w:color w:val="000000" w:themeColor="text1"/>
          <w:sz w:val="24"/>
          <w:szCs w:val="24"/>
          <w:vertAlign w:val="superscript"/>
        </w:rPr>
      </w:pPr>
      <w:r w:rsidRPr="00630C67">
        <w:rPr>
          <w:rFonts w:ascii="Arial" w:hAnsi="Arial" w:cs="Arial"/>
          <w:caps/>
          <w:color w:val="000000" w:themeColor="text1"/>
          <w:sz w:val="24"/>
          <w:szCs w:val="24"/>
        </w:rPr>
        <w:t>Construction of HMGB1 knockout cell line</w:t>
      </w:r>
      <w:bookmarkStart w:id="2" w:name="OLE_LINK27"/>
      <w:bookmarkStart w:id="3" w:name="OLE_LINK28"/>
      <w:r w:rsidRPr="00630C67">
        <w:rPr>
          <w:rFonts w:ascii="Arial" w:hAnsi="Arial" w:cs="Arial"/>
          <w:caps/>
          <w:color w:val="000000" w:themeColor="text1"/>
          <w:sz w:val="24"/>
          <w:szCs w:val="24"/>
        </w:rPr>
        <w:t xml:space="preserve"> (B16</w:t>
      </w:r>
      <w:r w:rsidRPr="00630C67">
        <w:rPr>
          <w:rFonts w:ascii="Arial" w:hAnsi="Arial" w:cs="Arial"/>
          <w:caps/>
          <w:color w:val="000000" w:themeColor="text1"/>
          <w:sz w:val="24"/>
          <w:szCs w:val="24"/>
          <w:vertAlign w:val="superscript"/>
        </w:rPr>
        <w:t>HMGB1-</w:t>
      </w:r>
      <w:r w:rsidRPr="00630C67">
        <w:rPr>
          <w:rFonts w:ascii="Arial" w:hAnsi="Arial" w:cs="Arial"/>
          <w:caps/>
          <w:color w:val="000000" w:themeColor="text1"/>
          <w:sz w:val="24"/>
          <w:szCs w:val="24"/>
        </w:rPr>
        <w:t xml:space="preserve"> ) </w:t>
      </w:r>
      <w:bookmarkEnd w:id="2"/>
      <w:bookmarkEnd w:id="3"/>
      <w:r w:rsidRPr="00630C67">
        <w:rPr>
          <w:rFonts w:ascii="Arial" w:hAnsi="Arial" w:cs="Arial"/>
          <w:caps/>
          <w:color w:val="000000" w:themeColor="text1"/>
          <w:sz w:val="24"/>
          <w:szCs w:val="24"/>
        </w:rPr>
        <w:t>in mouse melanoma cell lines B16</w:t>
      </w:r>
    </w:p>
    <w:p w:rsidR="0007689F" w:rsidRPr="00630C67" w:rsidRDefault="0007689F" w:rsidP="0007689F">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Guide RNA, proper targets, and primers were designed with the software provide by Feng Zhang’s Lab (</w:t>
      </w:r>
      <w:hyperlink r:id="rId4" w:history="1">
        <w:r w:rsidRPr="00630C67">
          <w:rPr>
            <w:rStyle w:val="a3"/>
            <w:rFonts w:ascii="Arial" w:hAnsi="Arial" w:cs="Arial"/>
            <w:color w:val="000000" w:themeColor="text1"/>
            <w:sz w:val="24"/>
            <w:szCs w:val="24"/>
          </w:rPr>
          <w:t>http://crispr.mit.edu/</w:t>
        </w:r>
      </w:hyperlink>
      <w:r w:rsidRPr="00630C67">
        <w:rPr>
          <w:rFonts w:ascii="Arial" w:hAnsi="Arial" w:cs="Arial"/>
          <w:color w:val="000000" w:themeColor="text1"/>
          <w:sz w:val="24"/>
          <w:szCs w:val="24"/>
        </w:rPr>
        <w:t>). Plasmid pX330 (</w:t>
      </w:r>
      <w:proofErr w:type="spellStart"/>
      <w:r w:rsidRPr="00630C67">
        <w:rPr>
          <w:rFonts w:ascii="Arial" w:hAnsi="Arial" w:cs="Arial"/>
          <w:color w:val="000000" w:themeColor="text1"/>
          <w:sz w:val="24"/>
          <w:szCs w:val="24"/>
        </w:rPr>
        <w:t>Addgene</w:t>
      </w:r>
      <w:proofErr w:type="spellEnd"/>
      <w:r w:rsidRPr="00630C67">
        <w:rPr>
          <w:rFonts w:ascii="Arial" w:hAnsi="Arial" w:cs="Arial"/>
          <w:color w:val="000000" w:themeColor="text1"/>
          <w:sz w:val="24"/>
          <w:szCs w:val="24"/>
        </w:rPr>
        <w:t>) with the gRNA (pX330-HMGB1) were transfected into B16 cells.  Puromycin was used to select the cells transfected with the plasmids, and serial dilutions was used to isolate the clonal cell line. The successful construction of HMGB1 knockout cell line</w:t>
      </w:r>
      <w:r w:rsidRPr="00630C67">
        <w:rPr>
          <w:rFonts w:ascii="Arial" w:hAnsi="Arial" w:cs="Arial"/>
          <w:caps/>
          <w:color w:val="000000" w:themeColor="text1"/>
          <w:sz w:val="24"/>
          <w:szCs w:val="24"/>
        </w:rPr>
        <w:t xml:space="preserve"> (</w:t>
      </w:r>
      <w:bookmarkStart w:id="4" w:name="OLE_LINK29"/>
      <w:bookmarkStart w:id="5" w:name="OLE_LINK30"/>
      <w:r w:rsidRPr="00630C67">
        <w:rPr>
          <w:rFonts w:ascii="Arial" w:hAnsi="Arial" w:cs="Arial"/>
          <w:caps/>
          <w:color w:val="000000" w:themeColor="text1"/>
          <w:sz w:val="24"/>
          <w:szCs w:val="24"/>
        </w:rPr>
        <w:t>B16</w:t>
      </w:r>
      <w:r w:rsidRPr="00630C67">
        <w:rPr>
          <w:rFonts w:ascii="Arial" w:hAnsi="Arial" w:cs="Arial"/>
          <w:caps/>
          <w:color w:val="000000" w:themeColor="text1"/>
          <w:sz w:val="24"/>
          <w:szCs w:val="24"/>
          <w:vertAlign w:val="superscript"/>
        </w:rPr>
        <w:t>HMGB1-</w:t>
      </w:r>
      <w:bookmarkEnd w:id="4"/>
      <w:bookmarkEnd w:id="5"/>
      <w:r w:rsidRPr="00630C67">
        <w:rPr>
          <w:rFonts w:ascii="Arial" w:hAnsi="Arial" w:cs="Arial"/>
          <w:caps/>
          <w:color w:val="000000" w:themeColor="text1"/>
          <w:sz w:val="24"/>
          <w:szCs w:val="24"/>
        </w:rPr>
        <w:t xml:space="preserve"> ) </w:t>
      </w:r>
      <w:r w:rsidRPr="00630C67">
        <w:rPr>
          <w:rFonts w:ascii="Arial" w:hAnsi="Arial" w:cs="Arial"/>
          <w:color w:val="000000" w:themeColor="text1"/>
          <w:sz w:val="24"/>
          <w:szCs w:val="24"/>
        </w:rPr>
        <w:t>was confirmed by sequence of the PCR products targeting the ATG gene area of HMGB1 and Western blotting.</w:t>
      </w:r>
    </w:p>
    <w:p w:rsidR="0007689F" w:rsidRPr="00630C67" w:rsidRDefault="0007689F" w:rsidP="0007689F">
      <w:pPr>
        <w:spacing w:before="0" w:line="480" w:lineRule="auto"/>
        <w:jc w:val="both"/>
        <w:rPr>
          <w:rFonts w:ascii="Arial" w:hAnsi="Arial" w:cs="Arial"/>
          <w:color w:val="000000" w:themeColor="text1"/>
          <w:sz w:val="24"/>
          <w:szCs w:val="24"/>
        </w:rPr>
      </w:pPr>
    </w:p>
    <w:p w:rsidR="0007689F" w:rsidRPr="00630C67" w:rsidRDefault="0007689F" w:rsidP="0007689F">
      <w:pPr>
        <w:spacing w:before="0" w:line="480" w:lineRule="auto"/>
        <w:jc w:val="both"/>
        <w:rPr>
          <w:rFonts w:ascii="Arial" w:hAnsi="Arial" w:cs="Arial"/>
          <w:color w:val="000000" w:themeColor="text1"/>
          <w:sz w:val="24"/>
          <w:szCs w:val="24"/>
        </w:rPr>
      </w:pPr>
      <w:proofErr w:type="spellStart"/>
      <w:r w:rsidRPr="00630C67">
        <w:rPr>
          <w:rFonts w:ascii="Arial" w:hAnsi="Arial" w:cs="Arial"/>
          <w:color w:val="000000" w:themeColor="text1"/>
          <w:sz w:val="24"/>
          <w:szCs w:val="24"/>
        </w:rPr>
        <w:t>SupplTable</w:t>
      </w:r>
      <w:proofErr w:type="spellEnd"/>
      <w:r w:rsidRPr="00630C67">
        <w:rPr>
          <w:rFonts w:ascii="Arial" w:hAnsi="Arial" w:cs="Arial"/>
          <w:color w:val="000000" w:themeColor="text1"/>
          <w:sz w:val="24"/>
          <w:szCs w:val="24"/>
        </w:rPr>
        <w:t xml:space="preserve"> 1: The gRNAs and primers used to generate HMGB1 knockout B16 cells</w:t>
      </w:r>
    </w:p>
    <w:p w:rsidR="0007689F" w:rsidRPr="00630C67" w:rsidRDefault="0007689F" w:rsidP="0007689F">
      <w:pPr>
        <w:spacing w:before="0" w:line="480" w:lineRule="auto"/>
        <w:jc w:val="both"/>
        <w:rPr>
          <w:rFonts w:ascii="Arial" w:hAnsi="Arial" w:cs="Arial"/>
          <w:color w:val="000000" w:themeColor="text1"/>
          <w:sz w:val="24"/>
          <w:szCs w:val="24"/>
        </w:rPr>
      </w:pPr>
    </w:p>
    <w:tbl>
      <w:tblPr>
        <w:tblStyle w:val="2"/>
        <w:tblW w:w="8647" w:type="dxa"/>
        <w:tblLayout w:type="fixed"/>
        <w:tblLook w:val="0600" w:firstRow="0" w:lastRow="0" w:firstColumn="0" w:lastColumn="0" w:noHBand="1" w:noVBand="1"/>
      </w:tblPr>
      <w:tblGrid>
        <w:gridCol w:w="2410"/>
        <w:gridCol w:w="6237"/>
      </w:tblGrid>
      <w:tr w:rsidR="0007689F" w:rsidRPr="00630C67" w:rsidTr="0007689F">
        <w:trPr>
          <w:trHeight w:val="262"/>
        </w:trPr>
        <w:tc>
          <w:tcPr>
            <w:tcW w:w="2410" w:type="dxa"/>
          </w:tcPr>
          <w:p w:rsidR="0007689F" w:rsidRPr="00630C67" w:rsidRDefault="0007689F" w:rsidP="00B0177D">
            <w:pPr>
              <w:spacing w:before="0" w:line="480" w:lineRule="auto"/>
              <w:rPr>
                <w:rFonts w:ascii="Arial" w:hAnsi="Arial" w:cs="Arial"/>
                <w:b/>
                <w:color w:val="000000" w:themeColor="text1"/>
                <w:sz w:val="24"/>
                <w:szCs w:val="24"/>
              </w:rPr>
            </w:pPr>
            <w:bookmarkStart w:id="6" w:name="OLE_LINK25"/>
            <w:bookmarkStart w:id="7" w:name="OLE_LINK26"/>
            <w:r w:rsidRPr="00630C67">
              <w:rPr>
                <w:rFonts w:ascii="Arial" w:hAnsi="Arial" w:cs="Arial"/>
                <w:b/>
                <w:color w:val="000000" w:themeColor="text1"/>
                <w:sz w:val="24"/>
                <w:szCs w:val="24"/>
              </w:rPr>
              <w:t>gRNA and primers</w:t>
            </w:r>
          </w:p>
        </w:tc>
        <w:tc>
          <w:tcPr>
            <w:tcW w:w="6237" w:type="dxa"/>
          </w:tcPr>
          <w:p w:rsidR="0007689F" w:rsidRPr="00630C67" w:rsidRDefault="0007689F" w:rsidP="00B0177D">
            <w:pPr>
              <w:spacing w:before="0" w:line="480" w:lineRule="auto"/>
              <w:rPr>
                <w:rFonts w:ascii="Arial" w:hAnsi="Arial" w:cs="Arial"/>
                <w:b/>
                <w:color w:val="000000" w:themeColor="text1"/>
                <w:sz w:val="24"/>
                <w:szCs w:val="24"/>
              </w:rPr>
            </w:pPr>
            <w:r w:rsidRPr="00630C67">
              <w:rPr>
                <w:rFonts w:ascii="Arial" w:hAnsi="Arial" w:cs="Arial"/>
                <w:b/>
                <w:color w:val="000000" w:themeColor="text1"/>
                <w:sz w:val="24"/>
                <w:szCs w:val="24"/>
              </w:rPr>
              <w:t>Sequences</w:t>
            </w:r>
          </w:p>
        </w:tc>
      </w:tr>
      <w:tr w:rsidR="0007689F" w:rsidRPr="00630C67" w:rsidTr="0007689F">
        <w:trPr>
          <w:trHeight w:val="236"/>
        </w:trPr>
        <w:tc>
          <w:tcPr>
            <w:tcW w:w="2410"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gRNA-1F</w:t>
            </w:r>
          </w:p>
        </w:tc>
        <w:tc>
          <w:tcPr>
            <w:tcW w:w="6237"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CACCGGGAGATCCTAAAAAGCCGAG</w:t>
            </w:r>
          </w:p>
        </w:tc>
      </w:tr>
      <w:tr w:rsidR="0007689F" w:rsidRPr="00630C67" w:rsidTr="0007689F">
        <w:trPr>
          <w:trHeight w:val="230"/>
        </w:trPr>
        <w:tc>
          <w:tcPr>
            <w:tcW w:w="2410"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gRNA-1R</w:t>
            </w:r>
          </w:p>
        </w:tc>
        <w:tc>
          <w:tcPr>
            <w:tcW w:w="6237"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AAACCTCGGCTTTTTAGGATCTCCC</w:t>
            </w:r>
          </w:p>
        </w:tc>
      </w:tr>
      <w:tr w:rsidR="0007689F" w:rsidRPr="00630C67" w:rsidTr="0007689F">
        <w:trPr>
          <w:trHeight w:val="236"/>
        </w:trPr>
        <w:tc>
          <w:tcPr>
            <w:tcW w:w="2410"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gRNA-2F</w:t>
            </w:r>
          </w:p>
        </w:tc>
        <w:tc>
          <w:tcPr>
            <w:tcW w:w="6237"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CACCGATTTTGCCTCTCGGCTTTTT</w:t>
            </w:r>
          </w:p>
        </w:tc>
      </w:tr>
      <w:tr w:rsidR="0007689F" w:rsidRPr="00630C67" w:rsidTr="0007689F">
        <w:trPr>
          <w:trHeight w:val="230"/>
        </w:trPr>
        <w:tc>
          <w:tcPr>
            <w:tcW w:w="2410"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gRNA-2R</w:t>
            </w:r>
          </w:p>
        </w:tc>
        <w:tc>
          <w:tcPr>
            <w:tcW w:w="6237"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AAACAAAAAGCCGAGAGGCAAAATC</w:t>
            </w:r>
          </w:p>
        </w:tc>
      </w:tr>
      <w:tr w:rsidR="0007689F" w:rsidRPr="00630C67" w:rsidTr="0007689F">
        <w:trPr>
          <w:trHeight w:val="236"/>
        </w:trPr>
        <w:tc>
          <w:tcPr>
            <w:tcW w:w="2410"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HMGB1-F</w:t>
            </w:r>
          </w:p>
        </w:tc>
        <w:tc>
          <w:tcPr>
            <w:tcW w:w="6237"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ACCGCTTCTAGGAATTGGCT</w:t>
            </w:r>
          </w:p>
        </w:tc>
      </w:tr>
      <w:tr w:rsidR="0007689F" w:rsidRPr="00630C67" w:rsidTr="0007689F">
        <w:trPr>
          <w:trHeight w:val="236"/>
        </w:trPr>
        <w:tc>
          <w:tcPr>
            <w:tcW w:w="2410"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HMGB1-R</w:t>
            </w:r>
          </w:p>
        </w:tc>
        <w:tc>
          <w:tcPr>
            <w:tcW w:w="6237" w:type="dxa"/>
          </w:tcPr>
          <w:p w:rsidR="0007689F" w:rsidRPr="00630C67" w:rsidRDefault="0007689F" w:rsidP="00B0177D">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GTGCATTGGGGTCCTTGAAC</w:t>
            </w:r>
          </w:p>
        </w:tc>
      </w:tr>
      <w:bookmarkEnd w:id="6"/>
      <w:bookmarkEnd w:id="7"/>
    </w:tbl>
    <w:p w:rsidR="0007689F" w:rsidRDefault="0007689F" w:rsidP="0007689F">
      <w:pPr>
        <w:spacing w:before="0" w:line="480" w:lineRule="auto"/>
        <w:jc w:val="both"/>
        <w:rPr>
          <w:rFonts w:ascii="Arial" w:hAnsi="Arial" w:cs="Arial"/>
          <w:color w:val="000000" w:themeColor="text1"/>
          <w:sz w:val="24"/>
          <w:szCs w:val="24"/>
        </w:rPr>
      </w:pPr>
    </w:p>
    <w:p w:rsidR="0007689F" w:rsidRDefault="0007689F" w:rsidP="0007689F">
      <w:pPr>
        <w:spacing w:before="0" w:line="480" w:lineRule="auto"/>
        <w:jc w:val="both"/>
        <w:rPr>
          <w:rFonts w:ascii="Arial" w:hAnsi="Arial" w:cs="Arial"/>
          <w:color w:val="000000" w:themeColor="text1"/>
          <w:sz w:val="24"/>
          <w:szCs w:val="24"/>
        </w:rPr>
      </w:pPr>
    </w:p>
    <w:p w:rsidR="0007689F" w:rsidRPr="00630C67" w:rsidRDefault="0007689F" w:rsidP="0007689F">
      <w:pPr>
        <w:spacing w:before="0" w:line="480" w:lineRule="auto"/>
        <w:jc w:val="both"/>
        <w:rPr>
          <w:rFonts w:ascii="Arial" w:hAnsi="Arial" w:cs="Arial" w:hint="eastAsia"/>
          <w:color w:val="000000" w:themeColor="text1"/>
          <w:sz w:val="24"/>
          <w:szCs w:val="24"/>
        </w:rPr>
      </w:pPr>
    </w:p>
    <w:p w:rsidR="0007689F" w:rsidRPr="00630C67" w:rsidRDefault="0007689F" w:rsidP="0007689F">
      <w:pPr>
        <w:spacing w:before="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Supplementary figure legends</w:t>
      </w:r>
      <w:bookmarkStart w:id="8" w:name="_GoBack"/>
      <w:bookmarkEnd w:id="8"/>
    </w:p>
    <w:p w:rsidR="0007689F" w:rsidRPr="00630C67" w:rsidRDefault="0007689F" w:rsidP="0007689F">
      <w:pPr>
        <w:spacing w:before="0" w:line="480" w:lineRule="auto"/>
        <w:jc w:val="both"/>
        <w:rPr>
          <w:rFonts w:ascii="Arial" w:hAnsi="Arial" w:cs="Arial"/>
          <w:color w:val="000000" w:themeColor="text1"/>
          <w:sz w:val="24"/>
          <w:szCs w:val="24"/>
        </w:rPr>
      </w:pPr>
    </w:p>
    <w:p w:rsidR="0007689F" w:rsidRPr="00630C67" w:rsidRDefault="0007689F" w:rsidP="0007689F">
      <w:pPr>
        <w:spacing w:before="0" w:line="480" w:lineRule="auto"/>
        <w:jc w:val="both"/>
        <w:rPr>
          <w:rFonts w:ascii="Arial" w:hAnsi="Arial" w:cs="Arial"/>
          <w:color w:val="000000" w:themeColor="text1"/>
          <w:sz w:val="24"/>
          <w:szCs w:val="24"/>
        </w:rPr>
      </w:pPr>
      <w:proofErr w:type="spellStart"/>
      <w:r w:rsidRPr="00630C67">
        <w:rPr>
          <w:rFonts w:ascii="Arial" w:hAnsi="Arial" w:cs="Arial"/>
          <w:color w:val="000000" w:themeColor="text1"/>
          <w:sz w:val="24"/>
          <w:szCs w:val="24"/>
        </w:rPr>
        <w:t>SupplFig</w:t>
      </w:r>
      <w:proofErr w:type="spellEnd"/>
      <w:r w:rsidRPr="00630C67">
        <w:rPr>
          <w:rFonts w:ascii="Arial" w:hAnsi="Arial" w:cs="Arial"/>
          <w:color w:val="000000" w:themeColor="text1"/>
          <w:sz w:val="24"/>
          <w:szCs w:val="24"/>
        </w:rPr>
        <w:t xml:space="preserve">. 1. Detection of anti-HMGB1 antibodies in SS with immunoblotting  </w:t>
      </w:r>
    </w:p>
    <w:p w:rsidR="0007689F" w:rsidRPr="00630C67" w:rsidRDefault="0007689F" w:rsidP="0007689F">
      <w:pPr>
        <w:spacing w:before="0" w:line="480" w:lineRule="auto"/>
        <w:jc w:val="both"/>
        <w:rPr>
          <w:rFonts w:ascii="Arial" w:hAnsi="Arial" w:cs="Arial"/>
          <w:color w:val="000000" w:themeColor="text1"/>
          <w:sz w:val="24"/>
          <w:szCs w:val="24"/>
        </w:rPr>
      </w:pPr>
      <w:r w:rsidRPr="00630C67">
        <w:rPr>
          <w:rFonts w:ascii="Arial" w:hAnsi="Arial" w:cs="Arial"/>
          <w:color w:val="000000" w:themeColor="text1"/>
          <w:sz w:val="24"/>
          <w:szCs w:val="24"/>
        </w:rPr>
        <w:t>Indirect immunoblotting was also used to confirm the detection of anti-HMGB1 antibodies in SS.</w:t>
      </w:r>
    </w:p>
    <w:p w:rsidR="0007689F" w:rsidRPr="00143122" w:rsidRDefault="0007689F" w:rsidP="0007689F">
      <w:pPr>
        <w:spacing w:before="0" w:line="480" w:lineRule="auto"/>
        <w:jc w:val="both"/>
        <w:rPr>
          <w:rFonts w:ascii="Arial" w:hAnsi="Arial" w:cs="Arial"/>
          <w:color w:val="000000" w:themeColor="text1"/>
          <w:sz w:val="24"/>
          <w:szCs w:val="24"/>
          <w:lang w:val="en-US"/>
        </w:rPr>
      </w:pPr>
    </w:p>
    <w:p w:rsidR="0007689F" w:rsidRPr="00630C67" w:rsidRDefault="0007689F" w:rsidP="0007689F">
      <w:pPr>
        <w:pBdr>
          <w:top w:val="nil"/>
          <w:left w:val="nil"/>
          <w:bottom w:val="nil"/>
          <w:right w:val="nil"/>
          <w:between w:val="nil"/>
        </w:pBdr>
        <w:spacing w:line="480" w:lineRule="auto"/>
        <w:rPr>
          <w:rFonts w:ascii="Arial" w:hAnsi="Arial" w:cs="Arial"/>
          <w:color w:val="000000" w:themeColor="text1"/>
          <w:sz w:val="24"/>
          <w:szCs w:val="24"/>
        </w:rPr>
      </w:pPr>
      <w:proofErr w:type="spellStart"/>
      <w:r w:rsidRPr="00630C67">
        <w:rPr>
          <w:rFonts w:ascii="Arial" w:hAnsi="Arial" w:cs="Arial"/>
          <w:color w:val="000000" w:themeColor="text1"/>
          <w:sz w:val="24"/>
          <w:szCs w:val="24"/>
        </w:rPr>
        <w:t>SupplFig</w:t>
      </w:r>
      <w:proofErr w:type="spellEnd"/>
      <w:r w:rsidRPr="00630C67">
        <w:rPr>
          <w:rFonts w:ascii="Arial" w:hAnsi="Arial" w:cs="Arial"/>
          <w:color w:val="000000" w:themeColor="text1"/>
          <w:sz w:val="24"/>
          <w:szCs w:val="24"/>
        </w:rPr>
        <w:t xml:space="preserve">. 2. The construction of </w:t>
      </w:r>
      <w:bookmarkStart w:id="9" w:name="OLE_LINK31"/>
      <w:bookmarkStart w:id="10" w:name="OLE_LINK32"/>
      <w:r w:rsidRPr="00630C67">
        <w:rPr>
          <w:rFonts w:ascii="Arial" w:hAnsi="Arial" w:cs="Arial"/>
          <w:caps/>
          <w:color w:val="000000" w:themeColor="text1"/>
          <w:sz w:val="24"/>
          <w:szCs w:val="24"/>
        </w:rPr>
        <w:t>B16</w:t>
      </w:r>
      <w:r w:rsidRPr="00630C67">
        <w:rPr>
          <w:rFonts w:ascii="Arial" w:hAnsi="Arial" w:cs="Arial"/>
          <w:caps/>
          <w:color w:val="000000" w:themeColor="text1"/>
          <w:sz w:val="24"/>
          <w:szCs w:val="24"/>
          <w:vertAlign w:val="superscript"/>
        </w:rPr>
        <w:t xml:space="preserve">HMGB1- </w:t>
      </w:r>
      <w:bookmarkEnd w:id="9"/>
      <w:bookmarkEnd w:id="10"/>
      <w:r w:rsidRPr="00630C67">
        <w:rPr>
          <w:rFonts w:ascii="Arial" w:hAnsi="Arial" w:cs="Arial"/>
          <w:color w:val="000000" w:themeColor="text1"/>
          <w:sz w:val="24"/>
          <w:szCs w:val="24"/>
        </w:rPr>
        <w:t>was confirmed with Western blotting and sequence</w:t>
      </w:r>
    </w:p>
    <w:p w:rsidR="00A3600A" w:rsidRPr="0007689F" w:rsidRDefault="0007689F" w:rsidP="0007689F">
      <w:pPr>
        <w:pBdr>
          <w:top w:val="nil"/>
          <w:left w:val="nil"/>
          <w:bottom w:val="nil"/>
          <w:right w:val="nil"/>
          <w:between w:val="nil"/>
        </w:pBdr>
        <w:spacing w:line="480" w:lineRule="auto"/>
        <w:rPr>
          <w:rFonts w:ascii="Arial" w:hAnsi="Arial" w:cs="Arial" w:hint="eastAsia"/>
          <w:color w:val="000000" w:themeColor="text1"/>
          <w:sz w:val="24"/>
          <w:szCs w:val="24"/>
        </w:rPr>
      </w:pPr>
      <w:r w:rsidRPr="00630C67">
        <w:rPr>
          <w:rFonts w:ascii="Arial" w:hAnsi="Arial" w:cs="Arial"/>
          <w:color w:val="000000" w:themeColor="text1"/>
          <w:sz w:val="24"/>
          <w:szCs w:val="24"/>
        </w:rPr>
        <w:t>a)   Western blotting results showed that no HMGB1 protein was detected in</w:t>
      </w:r>
      <w:bookmarkStart w:id="11" w:name="OLE_LINK33"/>
      <w:bookmarkStart w:id="12" w:name="OLE_LINK34"/>
      <w:r w:rsidRPr="00630C67">
        <w:rPr>
          <w:rFonts w:ascii="Arial" w:hAnsi="Arial" w:cs="Arial"/>
          <w:color w:val="000000" w:themeColor="text1"/>
          <w:sz w:val="24"/>
          <w:szCs w:val="24"/>
        </w:rPr>
        <w:t xml:space="preserve"> B16</w:t>
      </w:r>
      <w:r w:rsidRPr="00630C67">
        <w:rPr>
          <w:rFonts w:ascii="Arial" w:hAnsi="Arial" w:cs="Arial"/>
          <w:color w:val="000000" w:themeColor="text1"/>
          <w:sz w:val="24"/>
          <w:szCs w:val="24"/>
          <w:vertAlign w:val="superscript"/>
        </w:rPr>
        <w:t>HMGB1-</w:t>
      </w:r>
      <w:r w:rsidRPr="00630C67">
        <w:rPr>
          <w:rFonts w:ascii="Arial" w:hAnsi="Arial" w:cs="Arial"/>
          <w:color w:val="000000" w:themeColor="text1"/>
          <w:sz w:val="24"/>
          <w:szCs w:val="24"/>
        </w:rPr>
        <w:t xml:space="preserve"> cells</w:t>
      </w:r>
      <w:bookmarkEnd w:id="11"/>
      <w:bookmarkEnd w:id="12"/>
      <w:r w:rsidRPr="00630C67">
        <w:rPr>
          <w:rFonts w:ascii="Arial" w:hAnsi="Arial" w:cs="Arial"/>
          <w:color w:val="000000" w:themeColor="text1"/>
          <w:sz w:val="24"/>
          <w:szCs w:val="24"/>
        </w:rPr>
        <w:t>. b) Sequence of the PCR products showed Insertion and deletion mutations in B16</w:t>
      </w:r>
      <w:r w:rsidRPr="00630C67">
        <w:rPr>
          <w:rFonts w:ascii="Arial" w:hAnsi="Arial" w:cs="Arial"/>
          <w:color w:val="000000" w:themeColor="text1"/>
          <w:sz w:val="24"/>
          <w:szCs w:val="24"/>
          <w:vertAlign w:val="superscript"/>
        </w:rPr>
        <w:t>HMGB1-</w:t>
      </w:r>
      <w:r w:rsidRPr="00630C67">
        <w:rPr>
          <w:rFonts w:ascii="Arial" w:hAnsi="Arial" w:cs="Arial"/>
          <w:color w:val="000000" w:themeColor="text1"/>
          <w:sz w:val="24"/>
          <w:szCs w:val="24"/>
        </w:rPr>
        <w:t xml:space="preserve"> cells.</w:t>
      </w:r>
    </w:p>
    <w:sectPr w:rsidR="00A3600A" w:rsidRPr="0007689F" w:rsidSect="00630C67">
      <w:footerReference w:type="even" r:id="rId5"/>
      <w:footerReference w:type="default" r:id="rId6"/>
      <w:footerReference w:type="first" r:id="rId7"/>
      <w:pgSz w:w="12240" w:h="15840"/>
      <w:pgMar w:top="1440" w:right="1440" w:bottom="1440" w:left="1440" w:header="0" w:footer="720" w:gutter="0"/>
      <w:lnNumType w:countBy="1" w:restart="continuous"/>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roid Serif">
    <w:altName w:val="Calibri"/>
    <w:panose1 w:val="020B0604020202020204"/>
    <w:charset w:val="00"/>
    <w:family w:val="auto"/>
    <w:pitch w:val="default"/>
    <w:sig w:usb0="00000003" w:usb1="00000000" w:usb2="00000000" w:usb3="00000000" w:csb0="00000001" w:csb1="00000000"/>
  </w:font>
  <w:font w:name="Oswald">
    <w:altName w:val="Arial Narrow"/>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458462185"/>
      <w:docPartObj>
        <w:docPartGallery w:val="Page Numbers (Bottom of Page)"/>
        <w:docPartUnique/>
      </w:docPartObj>
    </w:sdtPr>
    <w:sdtEndPr>
      <w:rPr>
        <w:rStyle w:val="a6"/>
      </w:rPr>
    </w:sdtEndPr>
    <w:sdtContent>
      <w:p w:rsidR="00630C67" w:rsidRDefault="00AD1EF6" w:rsidP="003E5A34">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rsidR="00630C67" w:rsidRDefault="00AD1EF6" w:rsidP="00630C6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816169464"/>
      <w:docPartObj>
        <w:docPartGallery w:val="Page Numbers (Bottom of Page)"/>
        <w:docPartUnique/>
      </w:docPartObj>
    </w:sdtPr>
    <w:sdtEndPr>
      <w:rPr>
        <w:rStyle w:val="a6"/>
      </w:rPr>
    </w:sdtEndPr>
    <w:sdtContent>
      <w:p w:rsidR="00630C67" w:rsidRDefault="00AD1EF6" w:rsidP="003E5A34">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FF68F0" w:rsidRDefault="00AD1EF6" w:rsidP="00630C67">
    <w:pPr>
      <w:pStyle w:val="4"/>
      <w:pBdr>
        <w:top w:val="nil"/>
        <w:left w:val="nil"/>
        <w:bottom w:val="nil"/>
        <w:right w:val="nil"/>
        <w:between w:val="nil"/>
      </w:pBdr>
      <w:ind w:right="360"/>
      <w:rPr>
        <w:b/>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8F0" w:rsidRDefault="00AD1EF6">
    <w:pPr>
      <w:pStyle w:val="4"/>
      <w:pBdr>
        <w:top w:val="nil"/>
        <w:left w:val="nil"/>
        <w:bottom w:val="nil"/>
        <w:right w:val="nil"/>
        <w:between w:val="nil"/>
      </w:pBdr>
    </w:pPr>
    <w:bookmarkStart w:id="13" w:name="_y0ojsicse0ov" w:colFirst="0" w:colLast="0"/>
    <w:bookmarkEnd w:id="13"/>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9F"/>
    <w:rsid w:val="0000578A"/>
    <w:rsid w:val="0005405E"/>
    <w:rsid w:val="0007689F"/>
    <w:rsid w:val="0008409C"/>
    <w:rsid w:val="000C5054"/>
    <w:rsid w:val="000D3E5B"/>
    <w:rsid w:val="000F2F3A"/>
    <w:rsid w:val="000F6B3C"/>
    <w:rsid w:val="001165F9"/>
    <w:rsid w:val="00122CD5"/>
    <w:rsid w:val="0013138C"/>
    <w:rsid w:val="00134598"/>
    <w:rsid w:val="00143B71"/>
    <w:rsid w:val="00143E80"/>
    <w:rsid w:val="001B1D37"/>
    <w:rsid w:val="001E752A"/>
    <w:rsid w:val="00212400"/>
    <w:rsid w:val="002237E3"/>
    <w:rsid w:val="00236B74"/>
    <w:rsid w:val="002613B0"/>
    <w:rsid w:val="002B71CA"/>
    <w:rsid w:val="002E1671"/>
    <w:rsid w:val="002F0344"/>
    <w:rsid w:val="003066AF"/>
    <w:rsid w:val="003424ED"/>
    <w:rsid w:val="00345641"/>
    <w:rsid w:val="0038725A"/>
    <w:rsid w:val="00443D1D"/>
    <w:rsid w:val="0045268D"/>
    <w:rsid w:val="004548F8"/>
    <w:rsid w:val="004A7C21"/>
    <w:rsid w:val="00510757"/>
    <w:rsid w:val="005557E4"/>
    <w:rsid w:val="00575821"/>
    <w:rsid w:val="0059310F"/>
    <w:rsid w:val="005B3D79"/>
    <w:rsid w:val="005B483C"/>
    <w:rsid w:val="005C39F2"/>
    <w:rsid w:val="00635B34"/>
    <w:rsid w:val="006407EC"/>
    <w:rsid w:val="00666FBD"/>
    <w:rsid w:val="00680B3B"/>
    <w:rsid w:val="0069072B"/>
    <w:rsid w:val="006B6C30"/>
    <w:rsid w:val="006F053A"/>
    <w:rsid w:val="00704585"/>
    <w:rsid w:val="00704CCC"/>
    <w:rsid w:val="0070506E"/>
    <w:rsid w:val="00792597"/>
    <w:rsid w:val="007A6211"/>
    <w:rsid w:val="007F6579"/>
    <w:rsid w:val="008020AD"/>
    <w:rsid w:val="00826D36"/>
    <w:rsid w:val="008457D6"/>
    <w:rsid w:val="00847E3D"/>
    <w:rsid w:val="00880845"/>
    <w:rsid w:val="0088730B"/>
    <w:rsid w:val="008C5658"/>
    <w:rsid w:val="008C6FA9"/>
    <w:rsid w:val="008C7CFD"/>
    <w:rsid w:val="00907906"/>
    <w:rsid w:val="00914A6F"/>
    <w:rsid w:val="0093146F"/>
    <w:rsid w:val="00936225"/>
    <w:rsid w:val="009430C0"/>
    <w:rsid w:val="00A02EAA"/>
    <w:rsid w:val="00A1205D"/>
    <w:rsid w:val="00A1753B"/>
    <w:rsid w:val="00A3300F"/>
    <w:rsid w:val="00A333B2"/>
    <w:rsid w:val="00A3600A"/>
    <w:rsid w:val="00A61ADA"/>
    <w:rsid w:val="00A9044B"/>
    <w:rsid w:val="00A936DD"/>
    <w:rsid w:val="00AB01E7"/>
    <w:rsid w:val="00AD1EF6"/>
    <w:rsid w:val="00B23689"/>
    <w:rsid w:val="00B34400"/>
    <w:rsid w:val="00C0223A"/>
    <w:rsid w:val="00C058EF"/>
    <w:rsid w:val="00C31DB2"/>
    <w:rsid w:val="00C510B0"/>
    <w:rsid w:val="00C657CB"/>
    <w:rsid w:val="00C71FFD"/>
    <w:rsid w:val="00C81563"/>
    <w:rsid w:val="00C951B3"/>
    <w:rsid w:val="00CB767D"/>
    <w:rsid w:val="00CB7C65"/>
    <w:rsid w:val="00CC4ACF"/>
    <w:rsid w:val="00CD7DA9"/>
    <w:rsid w:val="00D4722E"/>
    <w:rsid w:val="00D646D7"/>
    <w:rsid w:val="00D86CBD"/>
    <w:rsid w:val="00DD2DB3"/>
    <w:rsid w:val="00DD48FF"/>
    <w:rsid w:val="00DE6AEC"/>
    <w:rsid w:val="00DF38C7"/>
    <w:rsid w:val="00DF4728"/>
    <w:rsid w:val="00E23070"/>
    <w:rsid w:val="00E40228"/>
    <w:rsid w:val="00E439A2"/>
    <w:rsid w:val="00E67EA6"/>
    <w:rsid w:val="00EB756B"/>
    <w:rsid w:val="00EC0C86"/>
    <w:rsid w:val="00EE1BD4"/>
    <w:rsid w:val="00F13BE1"/>
    <w:rsid w:val="00F54436"/>
    <w:rsid w:val="00F55283"/>
    <w:rsid w:val="00F9534E"/>
    <w:rsid w:val="00F96A94"/>
    <w:rsid w:val="00FF0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0CC9B5"/>
  <w15:chartTrackingRefBased/>
  <w15:docId w15:val="{74BBFC53-D74C-3B4F-B570-2C63FA92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89F"/>
    <w:pPr>
      <w:widowControl w:val="0"/>
      <w:spacing w:before="200" w:line="312" w:lineRule="auto"/>
    </w:pPr>
    <w:rPr>
      <w:rFonts w:ascii="Droid Serif" w:hAnsi="Droid Serif" w:cs="Droid Serif"/>
      <w:color w:val="666666"/>
      <w:kern w:val="0"/>
      <w:sz w:val="22"/>
      <w:szCs w:val="22"/>
      <w:lang w:val="en"/>
    </w:rPr>
  </w:style>
  <w:style w:type="paragraph" w:styleId="4">
    <w:name w:val="heading 4"/>
    <w:basedOn w:val="a"/>
    <w:next w:val="a"/>
    <w:link w:val="40"/>
    <w:uiPriority w:val="9"/>
    <w:unhideWhenUsed/>
    <w:qFormat/>
    <w:rsid w:val="0007689F"/>
    <w:pPr>
      <w:outlineLvl w:val="3"/>
    </w:pPr>
    <w:rPr>
      <w:rFonts w:ascii="Oswald" w:eastAsia="Oswald" w:hAnsi="Oswald" w:cs="Oswal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07689F"/>
    <w:rPr>
      <w:rFonts w:ascii="Oswald" w:eastAsia="Oswald" w:hAnsi="Oswald" w:cs="Oswald"/>
      <w:color w:val="666666"/>
      <w:kern w:val="0"/>
      <w:sz w:val="22"/>
      <w:szCs w:val="22"/>
      <w:lang w:val="en"/>
    </w:rPr>
  </w:style>
  <w:style w:type="table" w:styleId="2">
    <w:name w:val="Plain Table 2"/>
    <w:basedOn w:val="a1"/>
    <w:uiPriority w:val="42"/>
    <w:rsid w:val="0007689F"/>
    <w:pPr>
      <w:widowControl w:val="0"/>
      <w:spacing w:before="200"/>
    </w:pPr>
    <w:rPr>
      <w:rFonts w:ascii="Droid Serif" w:hAnsi="Droid Serif" w:cs="Droid Serif"/>
      <w:color w:val="666666"/>
      <w:kern w:val="0"/>
      <w:sz w:val="22"/>
      <w:szCs w:val="22"/>
      <w:lang w:val="e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3">
    <w:name w:val="Hyperlink"/>
    <w:basedOn w:val="a0"/>
    <w:uiPriority w:val="99"/>
    <w:unhideWhenUsed/>
    <w:rsid w:val="0007689F"/>
    <w:rPr>
      <w:color w:val="0563C1" w:themeColor="hyperlink"/>
      <w:u w:val="single"/>
    </w:rPr>
  </w:style>
  <w:style w:type="paragraph" w:styleId="a4">
    <w:name w:val="footer"/>
    <w:basedOn w:val="a"/>
    <w:link w:val="a5"/>
    <w:uiPriority w:val="99"/>
    <w:unhideWhenUsed/>
    <w:rsid w:val="0007689F"/>
    <w:pPr>
      <w:tabs>
        <w:tab w:val="center" w:pos="4153"/>
        <w:tab w:val="right" w:pos="8306"/>
      </w:tabs>
      <w:snapToGrid w:val="0"/>
      <w:spacing w:line="240" w:lineRule="auto"/>
    </w:pPr>
    <w:rPr>
      <w:sz w:val="18"/>
      <w:szCs w:val="18"/>
    </w:rPr>
  </w:style>
  <w:style w:type="character" w:customStyle="1" w:styleId="a5">
    <w:name w:val="页脚 字符"/>
    <w:basedOn w:val="a0"/>
    <w:link w:val="a4"/>
    <w:uiPriority w:val="99"/>
    <w:rsid w:val="0007689F"/>
    <w:rPr>
      <w:rFonts w:ascii="Droid Serif" w:hAnsi="Droid Serif" w:cs="Droid Serif"/>
      <w:color w:val="666666"/>
      <w:kern w:val="0"/>
      <w:sz w:val="18"/>
      <w:szCs w:val="18"/>
      <w:lang w:val="en"/>
    </w:rPr>
  </w:style>
  <w:style w:type="character" w:styleId="a6">
    <w:name w:val="page number"/>
    <w:basedOn w:val="a0"/>
    <w:uiPriority w:val="99"/>
    <w:semiHidden/>
    <w:unhideWhenUsed/>
    <w:rsid w:val="0007689F"/>
  </w:style>
  <w:style w:type="character" w:styleId="a7">
    <w:name w:val="line number"/>
    <w:basedOn w:val="a0"/>
    <w:uiPriority w:val="99"/>
    <w:semiHidden/>
    <w:unhideWhenUsed/>
    <w:rsid w:val="0007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crispr.mit.edu/"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yeang</dc:creator>
  <cp:keywords/>
  <dc:description/>
  <cp:lastModifiedBy>yeang</cp:lastModifiedBy>
  <cp:revision>2</cp:revision>
  <dcterms:created xsi:type="dcterms:W3CDTF">2020-10-30T00:00:00Z</dcterms:created>
  <dcterms:modified xsi:type="dcterms:W3CDTF">2020-10-30T00:23:00Z</dcterms:modified>
</cp:coreProperties>
</file>