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4C409" w14:textId="42A7003F" w:rsidR="00131AD6" w:rsidRPr="00131AD6" w:rsidRDefault="00131AD6" w:rsidP="00131AD6">
      <w:pPr>
        <w:keepNext/>
        <w:suppressAutoHyphens/>
        <w:autoSpaceDN w:val="0"/>
        <w:spacing w:before="240" w:after="240" w:line="240" w:lineRule="auto"/>
        <w:jc w:val="both"/>
        <w:textAlignment w:val="baseline"/>
        <w:rPr>
          <w:rFonts w:ascii="Times New Roman" w:eastAsia="AR PL SungtiL GB" w:hAnsi="Times New Roman" w:cs="Lohit Devanagari"/>
          <w:b/>
          <w:bCs/>
          <w:kern w:val="3"/>
          <w:sz w:val="32"/>
          <w:szCs w:val="44"/>
          <w:lang w:val="en-GB" w:eastAsia="zh-CN" w:bidi="hi-IN"/>
        </w:rPr>
      </w:pPr>
      <w:r w:rsidRPr="00131AD6">
        <w:rPr>
          <w:rFonts w:ascii="Times New Roman" w:eastAsia="AR PL SungtiL GB" w:hAnsi="Times New Roman" w:cs="Lohit Devanagari"/>
          <w:b/>
          <w:bCs/>
          <w:kern w:val="3"/>
          <w:sz w:val="32"/>
          <w:szCs w:val="44"/>
          <w:lang w:val="en-GB" w:eastAsia="zh-CN" w:bidi="hi-IN"/>
        </w:rPr>
        <w:t>Supplementary materials</w:t>
      </w:r>
      <w:r>
        <w:rPr>
          <w:rFonts w:ascii="Times New Roman" w:eastAsia="AR PL SungtiL GB" w:hAnsi="Times New Roman" w:cs="Lohit Devanagari"/>
          <w:b/>
          <w:bCs/>
          <w:kern w:val="3"/>
          <w:sz w:val="32"/>
          <w:szCs w:val="44"/>
          <w:lang w:val="en-GB" w:eastAsia="zh-CN" w:bidi="hi-IN"/>
        </w:rPr>
        <w:t xml:space="preserve"> – article “</w:t>
      </w:r>
      <w:r w:rsidRPr="00131AD6">
        <w:rPr>
          <w:rFonts w:ascii="Times New Roman" w:hAnsi="Times New Roman" w:cs="Times New Roman"/>
          <w:b/>
          <w:sz w:val="32"/>
          <w:szCs w:val="32"/>
          <w:lang w:val="en-US"/>
        </w:rPr>
        <w:t>Drought-induced forest dieback increases taxonomic and functional diversity but not phylogenetic diversity of saproxylic beetles at both local and landscape scales</w:t>
      </w:r>
      <w:r>
        <w:rPr>
          <w:rFonts w:ascii="Times New Roman" w:eastAsia="AR PL SungtiL GB" w:hAnsi="Times New Roman" w:cs="Lohit Devanagari"/>
          <w:b/>
          <w:bCs/>
          <w:kern w:val="3"/>
          <w:sz w:val="32"/>
          <w:szCs w:val="44"/>
          <w:lang w:val="en-GB" w:eastAsia="zh-CN" w:bidi="hi-IN"/>
        </w:rPr>
        <w:t>”</w:t>
      </w:r>
    </w:p>
    <w:p w14:paraId="72B189CC" w14:textId="77777777" w:rsidR="00131AD6" w:rsidRPr="00131AD6" w:rsidRDefault="00131AD6" w:rsidP="00131AD6">
      <w:pPr>
        <w:suppressAutoHyphens/>
        <w:autoSpaceDN w:val="0"/>
        <w:spacing w:after="0" w:line="480" w:lineRule="auto"/>
        <w:jc w:val="both"/>
        <w:textAlignment w:val="baseline"/>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31AD6" w:rsidRPr="00131AD6" w14:paraId="4781710D" w14:textId="77777777" w:rsidTr="00112F8A">
        <w:tc>
          <w:tcPr>
            <w:tcW w:w="9062" w:type="dxa"/>
          </w:tcPr>
          <w:p w14:paraId="2000531E" w14:textId="77777777" w:rsidR="00131AD6" w:rsidRPr="00131AD6" w:rsidRDefault="00131AD6" w:rsidP="00131AD6">
            <w:pPr>
              <w:suppressAutoHyphens/>
              <w:autoSpaceDN w:val="0"/>
              <w:spacing w:line="480" w:lineRule="auto"/>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6C7C84EF" wp14:editId="0004BA17">
                  <wp:extent cx="3600000" cy="3600000"/>
                  <wp:effectExtent l="0" t="0"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131AD6" w:rsidRPr="00131AD6" w14:paraId="26EA4EB3" w14:textId="77777777" w:rsidTr="00112F8A">
        <w:tc>
          <w:tcPr>
            <w:tcW w:w="9062" w:type="dxa"/>
          </w:tcPr>
          <w:p w14:paraId="4BDAE0AE" w14:textId="77777777" w:rsidR="00131AD6" w:rsidRPr="00131AD6" w:rsidRDefault="00131AD6" w:rsidP="00131AD6">
            <w:pPr>
              <w:suppressAutoHyphens/>
              <w:autoSpaceDN w:val="0"/>
              <w:spacing w:line="360" w:lineRule="auto"/>
              <w:jc w:val="both"/>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Figure S1.</w:t>
            </w:r>
            <w:r w:rsidRPr="00131AD6">
              <w:rPr>
                <w:rFonts w:ascii="Times New Roman" w:eastAsia="Arial" w:hAnsi="Times New Roman" w:cs="Arial"/>
                <w:kern w:val="3"/>
                <w:sz w:val="20"/>
                <w:lang w:val="en-GB" w:eastAsia="zh-CN" w:bidi="hi-IN"/>
              </w:rPr>
              <w:t xml:space="preserve"> Correlation table for the diversity indices. Coloured relationships are statistically significant at an </w:t>
            </w:r>
            <w:r w:rsidRPr="00131AD6">
              <w:rPr>
                <w:rFonts w:ascii="Times New Roman" w:eastAsia="Arial" w:hAnsi="Times New Roman" w:cs="Times New Roman"/>
                <w:kern w:val="3"/>
                <w:sz w:val="20"/>
                <w:lang w:val="en-GB" w:eastAsia="zh-CN" w:bidi="hi-IN"/>
              </w:rPr>
              <w:t>α</w:t>
            </w:r>
            <w:r w:rsidRPr="00131AD6">
              <w:rPr>
                <w:rFonts w:ascii="Times New Roman" w:eastAsia="Arial" w:hAnsi="Times New Roman" w:cs="Arial"/>
                <w:kern w:val="3"/>
                <w:sz w:val="20"/>
                <w:lang w:val="en-GB" w:eastAsia="zh-CN" w:bidi="hi-IN"/>
              </w:rPr>
              <w:t>-level of 0.05. Blue represents positive correlations while red represents negative correlations. Numbers are the Pearson’s r values. See Results.</w:t>
            </w:r>
          </w:p>
        </w:tc>
      </w:tr>
    </w:tbl>
    <w:p w14:paraId="05D9FA8E" w14:textId="77777777" w:rsidR="00131AD6" w:rsidRPr="00131AD6" w:rsidRDefault="00131AD6" w:rsidP="00131AD6">
      <w:pPr>
        <w:suppressAutoHyphens/>
        <w:autoSpaceDN w:val="0"/>
        <w:spacing w:after="0" w:line="480" w:lineRule="auto"/>
        <w:jc w:val="both"/>
        <w:textAlignment w:val="baseline"/>
        <w:rPr>
          <w:rFonts w:ascii="Times New Roman" w:eastAsia="Arial" w:hAnsi="Times New Roman" w:cs="Arial"/>
          <w:kern w:val="3"/>
          <w:sz w:val="20"/>
          <w:lang w:val="en-GB" w:eastAsia="zh-CN" w:bidi="hi-IN"/>
        </w:rPr>
      </w:pPr>
    </w:p>
    <w:p w14:paraId="166DBEAE" w14:textId="77777777" w:rsidR="00131AD6" w:rsidRPr="00131AD6" w:rsidRDefault="00131AD6" w:rsidP="00131AD6">
      <w:pPr>
        <w:suppressAutoHyphens/>
        <w:autoSpaceDN w:val="0"/>
        <w:spacing w:after="0" w:line="480" w:lineRule="auto"/>
        <w:jc w:val="both"/>
        <w:textAlignment w:val="baseline"/>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1AD6" w:rsidRPr="00131AD6" w14:paraId="1C8FF36E" w14:textId="77777777" w:rsidTr="00112F8A">
        <w:tc>
          <w:tcPr>
            <w:tcW w:w="9072" w:type="dxa"/>
          </w:tcPr>
          <w:p w14:paraId="0B38C952" w14:textId="77777777" w:rsidR="00131AD6" w:rsidRPr="00131AD6" w:rsidRDefault="00131AD6" w:rsidP="00131AD6">
            <w:pPr>
              <w:suppressAutoHyphens/>
              <w:autoSpaceDN w:val="0"/>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lastRenderedPageBreak/>
              <w:drawing>
                <wp:inline distT="0" distB="0" distL="0" distR="0" wp14:anchorId="5063C22C" wp14:editId="1E1CE635">
                  <wp:extent cx="5040000" cy="3435658"/>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0000" cy="3435658"/>
                          </a:xfrm>
                          <a:prstGeom prst="rect">
                            <a:avLst/>
                          </a:prstGeom>
                        </pic:spPr>
                      </pic:pic>
                    </a:graphicData>
                  </a:graphic>
                </wp:inline>
              </w:drawing>
            </w:r>
          </w:p>
        </w:tc>
      </w:tr>
      <w:tr w:rsidR="00131AD6" w:rsidRPr="00131AD6" w14:paraId="4ED8A1EA" w14:textId="77777777" w:rsidTr="00112F8A">
        <w:tc>
          <w:tcPr>
            <w:tcW w:w="9072" w:type="dxa"/>
          </w:tcPr>
          <w:p w14:paraId="597A95FB" w14:textId="77777777" w:rsidR="00131AD6" w:rsidRPr="00131AD6" w:rsidRDefault="00131AD6" w:rsidP="00131AD6">
            <w:pPr>
              <w:suppressAutoHyphens/>
              <w:autoSpaceDN w:val="0"/>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kern w:val="3"/>
                <w:sz w:val="20"/>
                <w:lang w:val="en-GB" w:eastAsia="zh-CN" w:bidi="hi-IN"/>
              </w:rPr>
              <w:t xml:space="preserve"> </w:t>
            </w:r>
            <w:r w:rsidRPr="00131AD6">
              <w:rPr>
                <w:rFonts w:ascii="Times New Roman" w:eastAsia="Arial" w:hAnsi="Times New Roman" w:cs="Arial"/>
                <w:noProof/>
                <w:kern w:val="3"/>
                <w:sz w:val="20"/>
                <w:lang w:val="en-US"/>
              </w:rPr>
              <w:drawing>
                <wp:inline distT="0" distB="0" distL="0" distR="0" wp14:anchorId="55B846E2" wp14:editId="19843ED2">
                  <wp:extent cx="5040000" cy="252000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tc>
      </w:tr>
      <w:tr w:rsidR="00131AD6" w:rsidRPr="00131AD6" w14:paraId="0CE8F128" w14:textId="77777777" w:rsidTr="00112F8A">
        <w:tc>
          <w:tcPr>
            <w:tcW w:w="9072" w:type="dxa"/>
          </w:tcPr>
          <w:p w14:paraId="67C85EC7" w14:textId="77777777" w:rsidR="00131AD6" w:rsidRPr="00131AD6" w:rsidRDefault="00131AD6" w:rsidP="00131AD6">
            <w:pPr>
              <w:suppressAutoHyphens/>
              <w:autoSpaceDN w:val="0"/>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016AB54A" wp14:editId="75B997CB">
                  <wp:extent cx="5040000" cy="252000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tc>
      </w:tr>
      <w:tr w:rsidR="00131AD6" w:rsidRPr="00131AD6" w14:paraId="2301E24E" w14:textId="77777777" w:rsidTr="00112F8A">
        <w:tc>
          <w:tcPr>
            <w:tcW w:w="9072" w:type="dxa"/>
          </w:tcPr>
          <w:p w14:paraId="5F783E7B" w14:textId="77777777" w:rsidR="00131AD6" w:rsidRPr="00131AD6" w:rsidRDefault="00131AD6" w:rsidP="00131AD6">
            <w:pPr>
              <w:suppressAutoHyphens/>
              <w:autoSpaceDN w:val="0"/>
              <w:jc w:val="center"/>
              <w:textAlignment w:val="baseline"/>
              <w:rPr>
                <w:rFonts w:ascii="Times New Roman" w:eastAsia="Arial" w:hAnsi="Times New Roman" w:cs="Arial"/>
                <w:kern w:val="3"/>
                <w:sz w:val="20"/>
                <w:lang w:val="en-GB" w:eastAsia="fr-FR"/>
              </w:rPr>
            </w:pPr>
            <w:r w:rsidRPr="00131AD6">
              <w:rPr>
                <w:rFonts w:ascii="Times New Roman" w:eastAsia="Arial" w:hAnsi="Times New Roman" w:cs="Arial"/>
                <w:noProof/>
                <w:kern w:val="3"/>
                <w:sz w:val="20"/>
                <w:lang w:val="en-US"/>
              </w:rPr>
              <w:lastRenderedPageBreak/>
              <w:drawing>
                <wp:inline distT="0" distB="0" distL="0" distR="0" wp14:anchorId="6C0144A0" wp14:editId="07B29980">
                  <wp:extent cx="5040000" cy="2977778"/>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977778"/>
                          </a:xfrm>
                          <a:prstGeom prst="rect">
                            <a:avLst/>
                          </a:prstGeom>
                        </pic:spPr>
                      </pic:pic>
                    </a:graphicData>
                  </a:graphic>
                </wp:inline>
              </w:drawing>
            </w:r>
          </w:p>
        </w:tc>
      </w:tr>
      <w:tr w:rsidR="00131AD6" w:rsidRPr="00131AD6" w14:paraId="144FD539" w14:textId="77777777" w:rsidTr="00112F8A">
        <w:tc>
          <w:tcPr>
            <w:tcW w:w="9072" w:type="dxa"/>
          </w:tcPr>
          <w:p w14:paraId="1A539A36" w14:textId="77777777" w:rsidR="00131AD6" w:rsidRPr="00131AD6" w:rsidRDefault="00131AD6" w:rsidP="00131AD6">
            <w:pPr>
              <w:suppressAutoHyphens/>
              <w:autoSpaceDN w:val="0"/>
              <w:spacing w:line="480" w:lineRule="auto"/>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69B78236" wp14:editId="400B5318">
                  <wp:extent cx="5039999" cy="4122401"/>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9" cy="4122401"/>
                          </a:xfrm>
                          <a:prstGeom prst="rect">
                            <a:avLst/>
                          </a:prstGeom>
                        </pic:spPr>
                      </pic:pic>
                    </a:graphicData>
                  </a:graphic>
                </wp:inline>
              </w:drawing>
            </w:r>
          </w:p>
        </w:tc>
      </w:tr>
      <w:tr w:rsidR="00131AD6" w:rsidRPr="00131AD6" w14:paraId="6883ED82" w14:textId="77777777" w:rsidTr="00112F8A">
        <w:tc>
          <w:tcPr>
            <w:tcW w:w="9072" w:type="dxa"/>
          </w:tcPr>
          <w:p w14:paraId="55B3A9BF" w14:textId="77777777" w:rsidR="00131AD6" w:rsidRPr="00131AD6" w:rsidRDefault="00131AD6" w:rsidP="00131AD6">
            <w:pPr>
              <w:suppressAutoHyphens/>
              <w:autoSpaceDN w:val="0"/>
              <w:spacing w:line="360" w:lineRule="auto"/>
              <w:jc w:val="both"/>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Figure S2.</w:t>
            </w:r>
            <w:r w:rsidRPr="00131AD6">
              <w:rPr>
                <w:rFonts w:ascii="Times New Roman" w:eastAsia="Arial" w:hAnsi="Times New Roman" w:cs="Arial"/>
                <w:kern w:val="3"/>
                <w:sz w:val="20"/>
                <w:lang w:val="en-GB" w:eastAsia="zh-CN" w:bidi="hi-IN"/>
              </w:rPr>
              <w:t xml:space="preserve"> Response of local general saproxylic beetle guilds to dieback severity measured over different spatial scales (a = taxonomic diversity; b = phylogenetic diversity; c = functional diversity; d = substrate traits; e = substrate guilds). Coloured circles indicate </w:t>
            </w:r>
            <w:r w:rsidRPr="00131AD6">
              <w:rPr>
                <w:rFonts w:ascii="Times New Roman" w:eastAsia="Arial" w:hAnsi="Times New Roman" w:cs="Times New Roman"/>
                <w:color w:val="202124"/>
                <w:kern w:val="3"/>
                <w:sz w:val="20"/>
                <w:szCs w:val="20"/>
                <w:shd w:val="clear" w:color="auto" w:fill="FFFFFF"/>
                <w:lang w:val="en-GB" w:eastAsia="zh-CN" w:bidi="hi-IN"/>
              </w:rPr>
              <w:t>β</w:t>
            </w:r>
            <w:r w:rsidRPr="00131AD6">
              <w:rPr>
                <w:rFonts w:ascii="Times New Roman" w:eastAsia="Arial" w:hAnsi="Times New Roman" w:cs="Arial"/>
                <w:color w:val="202124"/>
                <w:kern w:val="3"/>
                <w:sz w:val="20"/>
                <w:szCs w:val="20"/>
                <w:shd w:val="clear" w:color="auto" w:fill="FFFFFF"/>
                <w:lang w:val="en-GB" w:eastAsia="zh-CN" w:bidi="hi-IN"/>
              </w:rPr>
              <w:t>-</w:t>
            </w:r>
            <w:r w:rsidRPr="00131AD6">
              <w:rPr>
                <w:rFonts w:ascii="Times New Roman" w:eastAsia="Arial" w:hAnsi="Times New Roman" w:cs="Arial"/>
                <w:kern w:val="3"/>
                <w:sz w:val="20"/>
                <w:lang w:val="en-GB" w:eastAsia="zh-CN" w:bidi="hi-IN"/>
              </w:rPr>
              <w:t xml:space="preserve">estimates from the univariate </w:t>
            </w:r>
            <w:proofErr w:type="spellStart"/>
            <w:r w:rsidRPr="00131AD6">
              <w:rPr>
                <w:rFonts w:ascii="Times New Roman" w:eastAsia="Arial" w:hAnsi="Times New Roman" w:cs="Arial"/>
                <w:kern w:val="3"/>
                <w:sz w:val="20"/>
                <w:lang w:val="en-GB" w:eastAsia="zh-CN" w:bidi="hi-IN"/>
              </w:rPr>
              <w:t>glmmTMB</w:t>
            </w:r>
            <w:proofErr w:type="spellEnd"/>
            <w:r w:rsidRPr="00131AD6">
              <w:rPr>
                <w:rFonts w:ascii="Times New Roman" w:eastAsia="Arial" w:hAnsi="Times New Roman" w:cs="Arial"/>
                <w:kern w:val="3"/>
                <w:sz w:val="20"/>
                <w:lang w:val="en-GB" w:eastAsia="zh-CN" w:bidi="hi-IN"/>
              </w:rPr>
              <w:t xml:space="preserve"> models; their diameter varies with adjusted p-value. The shaded grey area indicates the 95% confidence interval of each </w:t>
            </w:r>
            <w:r w:rsidRPr="00131AD6">
              <w:rPr>
                <w:rFonts w:ascii="Times New Roman" w:eastAsia="Arial" w:hAnsi="Times New Roman" w:cs="Times New Roman"/>
                <w:color w:val="202124"/>
                <w:kern w:val="3"/>
                <w:sz w:val="20"/>
                <w:szCs w:val="20"/>
                <w:shd w:val="clear" w:color="auto" w:fill="FFFFFF"/>
                <w:lang w:val="en-GB" w:eastAsia="zh-CN" w:bidi="hi-IN"/>
              </w:rPr>
              <w:t>β</w:t>
            </w:r>
            <w:r w:rsidRPr="00131AD6">
              <w:rPr>
                <w:rFonts w:ascii="Times New Roman" w:eastAsia="Arial" w:hAnsi="Times New Roman" w:cs="Arial"/>
                <w:color w:val="202124"/>
                <w:kern w:val="3"/>
                <w:sz w:val="20"/>
                <w:szCs w:val="20"/>
                <w:shd w:val="clear" w:color="auto" w:fill="FFFFFF"/>
                <w:lang w:val="en-GB" w:eastAsia="zh-CN" w:bidi="hi-IN"/>
              </w:rPr>
              <w:t>-</w:t>
            </w:r>
            <w:r w:rsidRPr="00131AD6">
              <w:rPr>
                <w:rFonts w:ascii="Times New Roman" w:eastAsia="Arial" w:hAnsi="Times New Roman" w:cs="Arial"/>
                <w:kern w:val="3"/>
                <w:sz w:val="20"/>
                <w:lang w:val="en-GB" w:eastAsia="zh-CN" w:bidi="hi-IN"/>
              </w:rPr>
              <w:t>estimate. “DW” = “deadwood”</w:t>
            </w:r>
          </w:p>
        </w:tc>
      </w:tr>
    </w:tbl>
    <w:p w14:paraId="283B8E5D" w14:textId="77777777" w:rsidR="00131AD6" w:rsidRPr="00131AD6" w:rsidRDefault="00131AD6" w:rsidP="00131AD6">
      <w:pPr>
        <w:suppressAutoHyphens/>
        <w:autoSpaceDN w:val="0"/>
        <w:spacing w:after="0" w:line="480" w:lineRule="auto"/>
        <w:jc w:val="both"/>
        <w:textAlignment w:val="baseline"/>
        <w:rPr>
          <w:rFonts w:ascii="Times New Roman" w:eastAsia="Arial" w:hAnsi="Times New Roman" w:cs="Arial"/>
          <w:kern w:val="3"/>
          <w:sz w:val="20"/>
          <w:lang w:val="en-GB" w:eastAsia="zh-CN" w:bidi="hi-IN"/>
        </w:rPr>
      </w:pPr>
    </w:p>
    <w:p w14:paraId="0FD13C1D" w14:textId="77777777" w:rsidR="00131AD6" w:rsidRPr="00131AD6" w:rsidRDefault="00131AD6" w:rsidP="00131AD6">
      <w:pPr>
        <w:suppressAutoHyphens/>
        <w:autoSpaceDN w:val="0"/>
        <w:spacing w:after="0" w:line="480" w:lineRule="auto"/>
        <w:jc w:val="both"/>
        <w:textAlignment w:val="baseline"/>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31AD6" w:rsidRPr="00131AD6" w14:paraId="1ED1B154" w14:textId="77777777" w:rsidTr="00112F8A">
        <w:tc>
          <w:tcPr>
            <w:tcW w:w="9062" w:type="dxa"/>
          </w:tcPr>
          <w:p w14:paraId="68FBCC18" w14:textId="77777777" w:rsidR="00131AD6" w:rsidRPr="00131AD6" w:rsidRDefault="00131AD6" w:rsidP="00131AD6">
            <w:pPr>
              <w:suppressAutoHyphens/>
              <w:autoSpaceDN w:val="0"/>
              <w:spacing w:line="480" w:lineRule="auto"/>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lastRenderedPageBreak/>
              <w:drawing>
                <wp:inline distT="0" distB="0" distL="0" distR="0" wp14:anchorId="0D7F94C4" wp14:editId="727ADCE5">
                  <wp:extent cx="3240000" cy="2105713"/>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105713"/>
                          </a:xfrm>
                          <a:prstGeom prst="rect">
                            <a:avLst/>
                          </a:prstGeom>
                        </pic:spPr>
                      </pic:pic>
                    </a:graphicData>
                  </a:graphic>
                </wp:inline>
              </w:drawing>
            </w:r>
          </w:p>
        </w:tc>
      </w:tr>
      <w:tr w:rsidR="00131AD6" w:rsidRPr="00131AD6" w14:paraId="45EDFB6B" w14:textId="77777777" w:rsidTr="00112F8A">
        <w:tc>
          <w:tcPr>
            <w:tcW w:w="9062" w:type="dxa"/>
          </w:tcPr>
          <w:p w14:paraId="6D8C999D" w14:textId="77777777" w:rsidR="00131AD6" w:rsidRPr="00131AD6" w:rsidRDefault="00131AD6" w:rsidP="00131AD6">
            <w:pPr>
              <w:suppressAutoHyphens/>
              <w:autoSpaceDN w:val="0"/>
              <w:spacing w:line="276" w:lineRule="auto"/>
              <w:jc w:val="both"/>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 xml:space="preserve">Figure S3. </w:t>
            </w:r>
            <w:r w:rsidRPr="00131AD6">
              <w:rPr>
                <w:rFonts w:ascii="Times New Roman" w:eastAsia="Arial" w:hAnsi="Times New Roman" w:cs="Arial"/>
                <w:kern w:val="3"/>
                <w:sz w:val="20"/>
                <w:lang w:val="en-GB" w:eastAsia="zh-CN" w:bidi="hi-IN"/>
              </w:rPr>
              <w:t xml:space="preserve">Changes in the Standardised Precipitation-Evapotranspiration Index (SPEI) </w:t>
            </w:r>
            <w:r w:rsidRPr="00131AD6">
              <w:rPr>
                <w:rFonts w:ascii="Times New Roman" w:eastAsia="Arial" w:hAnsi="Times New Roman" w:cs="Arial"/>
                <w:kern w:val="3"/>
                <w:sz w:val="20"/>
                <w:lang w:val="en-GB" w:eastAsia="zh-CN" w:bidi="hi-IN"/>
              </w:rPr>
              <w:fldChar w:fldCharType="begin"/>
            </w:r>
            <w:r w:rsidRPr="00131AD6">
              <w:rPr>
                <w:rFonts w:ascii="Times New Roman" w:eastAsia="Arial" w:hAnsi="Times New Roman" w:cs="Arial"/>
                <w:kern w:val="3"/>
                <w:sz w:val="20"/>
                <w:lang w:val="en-GB" w:eastAsia="zh-CN" w:bidi="hi-IN"/>
              </w:rPr>
              <w:instrText xml:space="preserve"> ADDIN ZOTERO_ITEM CSL_CITATION {"citationID":"2tH51uG2","properties":{"formattedCitation":"(Vicente-Serrano et al. 2010)","plainCitation":"(Vicente-Serrano et al. 2010)","noteIndex":0},"citationItems":[{"id":2590,"uris":["http://zotero.org/users/3827830/items/P5YUNTQL"],"uri":["http://zotero.org/users/3827830/items/P5YUNTQL"],"itemData":{"id":2590,"type":"article-journal","container-title":"Journal of Hydrometeorology","DOI":"10.1175/2010JHM1224.1","ISSN":"1525-755X","issue":"4","journalAbbreviation":"J. Hydrometeor.","language":"en","note":"publisher: American Meteorological Society","page":"1033-1043","source":"journals.ametsoc.org","title":"A New Global 0.5° Gridded Dataset (1901–2006) of a Multiscalar Drought Index: Comparison with Current Drought Index Datasets Based on the Palmer Drought Severity Index","title-short":"A New Global 0.5° Gridded Dataset (1901–2006) of a Multiscalar Drought Index","volume":"11","author":[{"family":"Vicente-Serrano","given":"S. M."},{"family":"Beguería","given":"S."},{"family":"López-Moreno","given":"J. I."},{"family":"Angulo","given":"M."},{"family":"El Kenawy","given":"A."}],"issued":{"date-parts":[["2010",8,1]]}}}],"schema":"https://github.com/citation-style-language/schema/raw/master/csl-citation.json"} </w:instrText>
            </w:r>
            <w:r w:rsidRPr="00131AD6">
              <w:rPr>
                <w:rFonts w:ascii="Times New Roman" w:eastAsia="Arial" w:hAnsi="Times New Roman" w:cs="Arial"/>
                <w:kern w:val="3"/>
                <w:sz w:val="20"/>
                <w:lang w:val="en-GB" w:eastAsia="zh-CN" w:bidi="hi-IN"/>
              </w:rPr>
              <w:fldChar w:fldCharType="separate"/>
            </w:r>
            <w:r w:rsidRPr="00131AD6">
              <w:rPr>
                <w:rFonts w:ascii="Times New Roman" w:eastAsia="Arial" w:hAnsi="Times New Roman" w:cs="Arial"/>
                <w:kern w:val="3"/>
                <w:sz w:val="20"/>
                <w:lang w:val="en-GB" w:eastAsia="zh-CN" w:bidi="hi-IN"/>
              </w:rPr>
              <w:t>(Vicente-Serrano et al. 2010)</w:t>
            </w:r>
            <w:r w:rsidRPr="00131AD6">
              <w:rPr>
                <w:rFonts w:ascii="Times New Roman" w:eastAsia="Arial" w:hAnsi="Times New Roman" w:cs="Arial"/>
                <w:kern w:val="3"/>
                <w:sz w:val="20"/>
                <w:lang w:val="en-GB" w:eastAsia="zh-CN" w:bidi="hi-IN"/>
              </w:rPr>
              <w:fldChar w:fldCharType="end"/>
            </w:r>
            <w:r w:rsidRPr="00131AD6">
              <w:rPr>
                <w:rFonts w:ascii="Times New Roman" w:eastAsia="Arial" w:hAnsi="Times New Roman" w:cs="Arial"/>
                <w:kern w:val="3"/>
                <w:sz w:val="20"/>
                <w:lang w:val="en-GB" w:eastAsia="zh-CN" w:bidi="hi-IN"/>
              </w:rPr>
              <w:t xml:space="preserve"> from 1950 to 2020 for the whole study area. Years marked by severe droughts are given under the corresponding bar; red: negative annual water balance (drought); blue: positive annual water balance (water surplus).</w:t>
            </w:r>
          </w:p>
        </w:tc>
      </w:tr>
    </w:tbl>
    <w:p w14:paraId="55D31A8D" w14:textId="77777777" w:rsidR="00131AD6" w:rsidRPr="00131AD6" w:rsidRDefault="00131AD6" w:rsidP="00131AD6">
      <w:pPr>
        <w:spacing w:after="0"/>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31AD6" w:rsidRPr="00131AD6" w14:paraId="25DFA1DF" w14:textId="77777777" w:rsidTr="00112F8A">
        <w:tc>
          <w:tcPr>
            <w:tcW w:w="9062" w:type="dxa"/>
          </w:tcPr>
          <w:p w14:paraId="1EAE7588" w14:textId="77777777" w:rsidR="00131AD6" w:rsidRPr="00131AD6" w:rsidRDefault="00131AD6" w:rsidP="00131AD6">
            <w:pPr>
              <w:suppressAutoHyphens/>
              <w:autoSpaceDN w:val="0"/>
              <w:spacing w:line="276" w:lineRule="auto"/>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6E793825" wp14:editId="3B6BE67E">
                  <wp:extent cx="3240000" cy="2105713"/>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105713"/>
                          </a:xfrm>
                          <a:prstGeom prst="rect">
                            <a:avLst/>
                          </a:prstGeom>
                        </pic:spPr>
                      </pic:pic>
                    </a:graphicData>
                  </a:graphic>
                </wp:inline>
              </w:drawing>
            </w:r>
          </w:p>
        </w:tc>
      </w:tr>
      <w:tr w:rsidR="00131AD6" w:rsidRPr="00131AD6" w14:paraId="4DA943D3" w14:textId="77777777" w:rsidTr="00112F8A">
        <w:tc>
          <w:tcPr>
            <w:tcW w:w="9062" w:type="dxa"/>
          </w:tcPr>
          <w:p w14:paraId="0F51BC16" w14:textId="77777777" w:rsidR="00131AD6" w:rsidRPr="00131AD6" w:rsidRDefault="00131AD6" w:rsidP="00131AD6">
            <w:pPr>
              <w:suppressAutoHyphens/>
              <w:autoSpaceDN w:val="0"/>
              <w:spacing w:line="276" w:lineRule="auto"/>
              <w:jc w:val="both"/>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 xml:space="preserve">Figure S4. </w:t>
            </w:r>
            <w:r w:rsidRPr="00131AD6">
              <w:rPr>
                <w:rFonts w:ascii="Times New Roman" w:eastAsia="Arial" w:hAnsi="Times New Roman" w:cs="Arial"/>
                <w:kern w:val="3"/>
                <w:sz w:val="20"/>
                <w:lang w:val="en-GB" w:eastAsia="zh-CN" w:bidi="hi-IN"/>
              </w:rPr>
              <w:t xml:space="preserve">Changes in the Standardised Precipitation-Evapotranspiration Index (SPEI) </w:t>
            </w:r>
            <w:r w:rsidRPr="00131AD6">
              <w:rPr>
                <w:rFonts w:ascii="Times New Roman" w:eastAsia="Arial" w:hAnsi="Times New Roman" w:cs="Arial"/>
                <w:kern w:val="3"/>
                <w:sz w:val="20"/>
                <w:lang w:val="en-GB" w:eastAsia="zh-CN" w:bidi="hi-IN"/>
              </w:rPr>
              <w:fldChar w:fldCharType="begin"/>
            </w:r>
            <w:r w:rsidRPr="00131AD6">
              <w:rPr>
                <w:rFonts w:ascii="Times New Roman" w:eastAsia="Arial" w:hAnsi="Times New Roman" w:cs="Arial"/>
                <w:kern w:val="3"/>
                <w:sz w:val="20"/>
                <w:lang w:val="en-GB" w:eastAsia="zh-CN" w:bidi="hi-IN"/>
              </w:rPr>
              <w:instrText xml:space="preserve"> ADDIN ZOTERO_ITEM CSL_CITATION {"citationID":"YWtjot7x","properties":{"formattedCitation":"(Vicente-Serrano et al. 2010)","plainCitation":"(Vicente-Serrano et al. 2010)","noteIndex":0},"citationItems":[{"id":2590,"uris":["http://zotero.org/users/3827830/items/P5YUNTQL"],"uri":["http://zotero.org/users/3827830/items/P5YUNTQL"],"itemData":{"id":2590,"type":"article-journal","container-title":"Journal of Hydrometeorology","DOI":"10.1175/2010JHM1224.1","ISSN":"1525-755X","issue":"4","journalAbbreviation":"J. Hydrometeor.","language":"en","note":"publisher: American Meteorological Society","page":"1033-1043","source":"journals.ametsoc.org","title":"A New Global 0.5° Gridded Dataset (1901–2006) of a Multiscalar Drought Index: Comparison with Current Drought Index Datasets Based on the Palmer Drought Severity Index","title-short":"A New Global 0.5° Gridded Dataset (1901–2006) of a Multiscalar Drought Index","volume":"11","author":[{"family":"Vicente-Serrano","given":"S. M."},{"family":"Beguería","given":"S."},{"family":"López-Moreno","given":"J. I."},{"family":"Angulo","given":"M."},{"family":"El Kenawy","given":"A."}],"issued":{"date-parts":[["2010",8,1]]}}}],"schema":"https://github.com/citation-style-language/schema/raw/master/csl-citation.json"} </w:instrText>
            </w:r>
            <w:r w:rsidRPr="00131AD6">
              <w:rPr>
                <w:rFonts w:ascii="Times New Roman" w:eastAsia="Arial" w:hAnsi="Times New Roman" w:cs="Arial"/>
                <w:kern w:val="3"/>
                <w:sz w:val="20"/>
                <w:lang w:val="en-GB" w:eastAsia="zh-CN" w:bidi="hi-IN"/>
              </w:rPr>
              <w:fldChar w:fldCharType="separate"/>
            </w:r>
            <w:r w:rsidRPr="00131AD6">
              <w:rPr>
                <w:rFonts w:ascii="Times New Roman" w:eastAsia="Arial" w:hAnsi="Times New Roman" w:cs="Arial"/>
                <w:kern w:val="3"/>
                <w:sz w:val="20"/>
                <w:lang w:val="en-GB" w:eastAsia="zh-CN" w:bidi="hi-IN"/>
              </w:rPr>
              <w:t>(Vicente-Serrano et al. 2010)</w:t>
            </w:r>
            <w:r w:rsidRPr="00131AD6">
              <w:rPr>
                <w:rFonts w:ascii="Times New Roman" w:eastAsia="Arial" w:hAnsi="Times New Roman" w:cs="Arial"/>
                <w:kern w:val="3"/>
                <w:sz w:val="20"/>
                <w:lang w:val="en-GB" w:eastAsia="zh-CN" w:bidi="hi-IN"/>
              </w:rPr>
              <w:fldChar w:fldCharType="end"/>
            </w:r>
            <w:r w:rsidRPr="00131AD6">
              <w:rPr>
                <w:rFonts w:ascii="Times New Roman" w:eastAsia="Arial" w:hAnsi="Times New Roman" w:cs="Arial"/>
                <w:kern w:val="3"/>
                <w:sz w:val="20"/>
                <w:lang w:val="en-GB" w:eastAsia="zh-CN" w:bidi="hi-IN"/>
              </w:rPr>
              <w:t xml:space="preserve"> from 1950 to 2017 in </w:t>
            </w:r>
            <w:proofErr w:type="spellStart"/>
            <w:r w:rsidRPr="00131AD6">
              <w:rPr>
                <w:rFonts w:ascii="Times New Roman" w:eastAsia="Arial" w:hAnsi="Times New Roman" w:cs="Arial"/>
                <w:kern w:val="3"/>
                <w:sz w:val="20"/>
                <w:lang w:val="en-GB" w:eastAsia="zh-CN" w:bidi="hi-IN"/>
              </w:rPr>
              <w:t>Aure</w:t>
            </w:r>
            <w:proofErr w:type="spellEnd"/>
            <w:r w:rsidRPr="00131AD6">
              <w:rPr>
                <w:rFonts w:ascii="Times New Roman" w:eastAsia="Arial" w:hAnsi="Times New Roman" w:cs="Arial"/>
                <w:kern w:val="3"/>
                <w:sz w:val="20"/>
                <w:lang w:val="en-GB" w:eastAsia="zh-CN" w:bidi="hi-IN"/>
              </w:rPr>
              <w:t xml:space="preserve"> Valley area. Years marked by severe drought are given under the corresponding bar; red: negative annual water balance (drought); blue: positive annual water balance (water surplus).</w:t>
            </w:r>
          </w:p>
        </w:tc>
      </w:tr>
    </w:tbl>
    <w:p w14:paraId="719BD974" w14:textId="77777777" w:rsidR="00131AD6" w:rsidRPr="00131AD6" w:rsidRDefault="00131AD6" w:rsidP="00131AD6">
      <w:pPr>
        <w:spacing w:after="0"/>
        <w:rPr>
          <w:rFonts w:ascii="Times New Roman" w:eastAsia="Arial" w:hAnsi="Times New Roman" w:cs="Arial"/>
          <w:kern w:val="3"/>
          <w:sz w:val="20"/>
          <w:lang w:val="en-GB" w:eastAsia="zh-CN" w:bidi="hi-IN"/>
        </w:rPr>
      </w:pPr>
    </w:p>
    <w:tbl>
      <w:tblPr>
        <w:tblStyle w:val="Grilledutableau"/>
        <w:tblW w:w="0" w:type="auto"/>
        <w:tblLook w:val="04A0" w:firstRow="1" w:lastRow="0" w:firstColumn="1" w:lastColumn="0" w:noHBand="0" w:noVBand="1"/>
      </w:tblPr>
      <w:tblGrid>
        <w:gridCol w:w="9062"/>
      </w:tblGrid>
      <w:tr w:rsidR="00131AD6" w:rsidRPr="00131AD6" w14:paraId="20F18057" w14:textId="77777777" w:rsidTr="00112F8A">
        <w:tc>
          <w:tcPr>
            <w:tcW w:w="9062" w:type="dxa"/>
            <w:tcBorders>
              <w:top w:val="nil"/>
              <w:left w:val="nil"/>
              <w:bottom w:val="nil"/>
              <w:right w:val="nil"/>
            </w:tcBorders>
          </w:tcPr>
          <w:p w14:paraId="02F23540" w14:textId="77777777" w:rsidR="00131AD6" w:rsidRPr="00131AD6" w:rsidRDefault="00131AD6" w:rsidP="00131AD6">
            <w:pPr>
              <w:suppressAutoHyphens/>
              <w:autoSpaceDN w:val="0"/>
              <w:spacing w:line="276" w:lineRule="auto"/>
              <w:jc w:val="center"/>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35763DC6" wp14:editId="142CB225">
                  <wp:extent cx="3240000" cy="2105713"/>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105713"/>
                          </a:xfrm>
                          <a:prstGeom prst="rect">
                            <a:avLst/>
                          </a:prstGeom>
                        </pic:spPr>
                      </pic:pic>
                    </a:graphicData>
                  </a:graphic>
                </wp:inline>
              </w:drawing>
            </w:r>
          </w:p>
        </w:tc>
      </w:tr>
      <w:tr w:rsidR="00131AD6" w:rsidRPr="00131AD6" w14:paraId="6F9ACB88" w14:textId="77777777" w:rsidTr="00112F8A">
        <w:tc>
          <w:tcPr>
            <w:tcW w:w="9062" w:type="dxa"/>
            <w:tcBorders>
              <w:top w:val="nil"/>
              <w:left w:val="nil"/>
              <w:bottom w:val="nil"/>
              <w:right w:val="nil"/>
            </w:tcBorders>
          </w:tcPr>
          <w:p w14:paraId="6BD543E6" w14:textId="77777777" w:rsidR="00131AD6" w:rsidRPr="00131AD6" w:rsidRDefault="00131AD6" w:rsidP="00131AD6">
            <w:pPr>
              <w:suppressAutoHyphens/>
              <w:autoSpaceDN w:val="0"/>
              <w:spacing w:line="276" w:lineRule="auto"/>
              <w:jc w:val="both"/>
              <w:textAlignment w:val="baseline"/>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 xml:space="preserve">Figure S5. </w:t>
            </w:r>
            <w:r w:rsidRPr="00131AD6">
              <w:rPr>
                <w:rFonts w:ascii="Times New Roman" w:eastAsia="Arial" w:hAnsi="Times New Roman" w:cs="Arial"/>
                <w:kern w:val="3"/>
                <w:sz w:val="20"/>
                <w:lang w:val="en-GB" w:eastAsia="zh-CN" w:bidi="hi-IN"/>
              </w:rPr>
              <w:t xml:space="preserve">Changes in the Standardised Precipitation-Evapotranspiration Index (SPEI) </w:t>
            </w:r>
            <w:r w:rsidRPr="00131AD6">
              <w:rPr>
                <w:rFonts w:ascii="Times New Roman" w:eastAsia="Arial" w:hAnsi="Times New Roman" w:cs="Arial"/>
                <w:kern w:val="3"/>
                <w:sz w:val="20"/>
                <w:lang w:val="en-GB" w:eastAsia="zh-CN" w:bidi="hi-IN"/>
              </w:rPr>
              <w:fldChar w:fldCharType="begin"/>
            </w:r>
            <w:r w:rsidRPr="00131AD6">
              <w:rPr>
                <w:rFonts w:ascii="Times New Roman" w:eastAsia="Arial" w:hAnsi="Times New Roman" w:cs="Arial"/>
                <w:kern w:val="3"/>
                <w:sz w:val="20"/>
                <w:lang w:val="en-GB" w:eastAsia="zh-CN" w:bidi="hi-IN"/>
              </w:rPr>
              <w:instrText xml:space="preserve"> ADDIN ZOTERO_ITEM CSL_CITATION {"citationID":"01WISz4J","properties":{"formattedCitation":"(Vicente-Serrano et al. 2010)","plainCitation":"(Vicente-Serrano et al. 2010)","noteIndex":0},"citationItems":[{"id":2590,"uris":["http://zotero.org/users/3827830/items/P5YUNTQL"],"uri":["http://zotero.org/users/3827830/items/P5YUNTQL"],"itemData":{"id":2590,"type":"article-journal","container-title":"Journal of Hydrometeorology","DOI":"10.1175/2010JHM1224.1","ISSN":"1525-755X","issue":"4","journalAbbreviation":"J. Hydrometeor.","language":"en","note":"publisher: American Meteorological Society","page":"1033-1043","source":"journals.ametsoc.org","title":"A New Global 0.5° Gridded Dataset (1901–2006) of a Multiscalar Drought Index: Comparison with Current Drought Index Datasets Based on the Palmer Drought Severity Index","title-short":"A New Global 0.5° Gridded Dataset (1901–2006) of a Multiscalar Drought Index","volume":"11","author":[{"family":"Vicente-Serrano","given":"S. M."},{"family":"Beguería","given":"S."},{"family":"López-Moreno","given":"J. I."},{"family":"Angulo","given":"M."},{"family":"El Kenawy","given":"A."}],"issued":{"date-parts":[["2010",8,1]]}}}],"schema":"https://github.com/citation-style-language/schema/raw/master/csl-citation.json"} </w:instrText>
            </w:r>
            <w:r w:rsidRPr="00131AD6">
              <w:rPr>
                <w:rFonts w:ascii="Times New Roman" w:eastAsia="Arial" w:hAnsi="Times New Roman" w:cs="Arial"/>
                <w:kern w:val="3"/>
                <w:sz w:val="20"/>
                <w:lang w:val="en-GB" w:eastAsia="zh-CN" w:bidi="hi-IN"/>
              </w:rPr>
              <w:fldChar w:fldCharType="separate"/>
            </w:r>
            <w:r w:rsidRPr="00131AD6">
              <w:rPr>
                <w:rFonts w:ascii="Times New Roman" w:eastAsia="Arial" w:hAnsi="Times New Roman" w:cs="Arial"/>
                <w:kern w:val="3"/>
                <w:sz w:val="20"/>
                <w:lang w:val="en-GB" w:eastAsia="zh-CN" w:bidi="hi-IN"/>
              </w:rPr>
              <w:t>(Vicente-Serrano et al. 2010)</w:t>
            </w:r>
            <w:r w:rsidRPr="00131AD6">
              <w:rPr>
                <w:rFonts w:ascii="Times New Roman" w:eastAsia="Arial" w:hAnsi="Times New Roman" w:cs="Arial"/>
                <w:kern w:val="3"/>
                <w:sz w:val="20"/>
                <w:lang w:val="en-GB" w:eastAsia="zh-CN" w:bidi="hi-IN"/>
              </w:rPr>
              <w:fldChar w:fldCharType="end"/>
            </w:r>
            <w:r w:rsidRPr="00131AD6">
              <w:rPr>
                <w:rFonts w:ascii="Times New Roman" w:eastAsia="Arial" w:hAnsi="Times New Roman" w:cs="Arial"/>
                <w:kern w:val="3"/>
                <w:sz w:val="20"/>
                <w:lang w:val="en-GB" w:eastAsia="zh-CN" w:bidi="hi-IN"/>
              </w:rPr>
              <w:t xml:space="preserve"> from 1950 to 2017 in the Sault limestone plateau area. Years marked by severe drought are </w:t>
            </w:r>
            <w:proofErr w:type="spellStart"/>
            <w:r w:rsidRPr="00131AD6">
              <w:rPr>
                <w:rFonts w:ascii="Times New Roman" w:eastAsia="Arial" w:hAnsi="Times New Roman" w:cs="Arial"/>
                <w:kern w:val="3"/>
                <w:sz w:val="20"/>
                <w:lang w:val="en-GB" w:eastAsia="zh-CN" w:bidi="hi-IN"/>
              </w:rPr>
              <w:t>are</w:t>
            </w:r>
            <w:proofErr w:type="spellEnd"/>
            <w:r w:rsidRPr="00131AD6">
              <w:rPr>
                <w:rFonts w:ascii="Times New Roman" w:eastAsia="Arial" w:hAnsi="Times New Roman" w:cs="Arial"/>
                <w:kern w:val="3"/>
                <w:sz w:val="20"/>
                <w:lang w:val="en-GB" w:eastAsia="zh-CN" w:bidi="hi-IN"/>
              </w:rPr>
              <w:t xml:space="preserve"> given under the corresponding bar; red: negative annual water balance (drought); blue: positive annual water balance (water surplus).</w:t>
            </w:r>
          </w:p>
        </w:tc>
      </w:tr>
    </w:tbl>
    <w:p w14:paraId="207F1FB6" w14:textId="77777777" w:rsidR="00131AD6" w:rsidRPr="00131AD6" w:rsidRDefault="00131AD6" w:rsidP="00131AD6">
      <w:pPr>
        <w:spacing w:after="0"/>
        <w:rPr>
          <w:rFonts w:ascii="Times New Roman" w:eastAsia="Arial" w:hAnsi="Times New Roman" w:cs="Arial"/>
          <w:kern w:val="3"/>
          <w:sz w:val="20"/>
          <w:lang w:val="en-GB" w:eastAsia="zh-CN" w:bidi="hi-IN"/>
        </w:rPr>
      </w:pPr>
      <w:r w:rsidRPr="00131AD6">
        <w:rPr>
          <w:rFonts w:ascii="Times New Roman" w:eastAsia="Arial" w:hAnsi="Times New Roman" w:cs="Arial"/>
          <w:kern w:val="3"/>
          <w:sz w:val="20"/>
          <w:lang w:val="en-GB" w:eastAsia="zh-CN" w:bidi="hi-IN"/>
        </w:rPr>
        <w:br w:type="page"/>
      </w:r>
    </w:p>
    <w:p w14:paraId="47F053F8" w14:textId="77777777" w:rsidR="00131AD6" w:rsidRPr="00131AD6" w:rsidRDefault="00131AD6" w:rsidP="00131AD6">
      <w:pPr>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31AD6" w:rsidRPr="00131AD6" w14:paraId="4169661B" w14:textId="77777777" w:rsidTr="00112F8A">
        <w:tc>
          <w:tcPr>
            <w:tcW w:w="9062" w:type="dxa"/>
          </w:tcPr>
          <w:p w14:paraId="69D23C8A"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11BAE76C" wp14:editId="4A4CD3A1">
                  <wp:extent cx="4319999" cy="2700857"/>
                  <wp:effectExtent l="0" t="0" r="444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99" cy="2700857"/>
                          </a:xfrm>
                          <a:prstGeom prst="rect">
                            <a:avLst/>
                          </a:prstGeom>
                        </pic:spPr>
                      </pic:pic>
                    </a:graphicData>
                  </a:graphic>
                </wp:inline>
              </w:drawing>
            </w:r>
          </w:p>
        </w:tc>
      </w:tr>
      <w:tr w:rsidR="00131AD6" w:rsidRPr="00131AD6" w14:paraId="36DD69EB" w14:textId="77777777" w:rsidTr="00112F8A">
        <w:tc>
          <w:tcPr>
            <w:tcW w:w="9062" w:type="dxa"/>
          </w:tcPr>
          <w:p w14:paraId="037EE9D6" w14:textId="77777777" w:rsidR="00131AD6" w:rsidRPr="00131AD6" w:rsidRDefault="00131AD6" w:rsidP="00131AD6">
            <w:pPr>
              <w:jc w:val="both"/>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Figure S6.</w:t>
            </w:r>
            <w:r w:rsidRPr="00131AD6">
              <w:rPr>
                <w:rFonts w:ascii="Times New Roman" w:eastAsia="Arial" w:hAnsi="Times New Roman" w:cs="Arial"/>
                <w:kern w:val="3"/>
                <w:sz w:val="20"/>
                <w:lang w:val="en-GB" w:eastAsia="zh-CN" w:bidi="hi-IN"/>
              </w:rPr>
              <w:t xml:space="preserve"> Relationship between the sum of dead crown pixels in a 25m radius around study plot centres (from machine learning) and the actual forest dieback level quantified in the study plots with the ARCHI method.</w:t>
            </w:r>
          </w:p>
        </w:tc>
      </w:tr>
    </w:tbl>
    <w:p w14:paraId="67353888" w14:textId="77777777" w:rsidR="00131AD6" w:rsidRPr="00131AD6" w:rsidRDefault="00131AD6" w:rsidP="00131AD6">
      <w:pPr>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1AD6" w:rsidRPr="00131AD6" w14:paraId="095130F2" w14:textId="77777777" w:rsidTr="00112F8A">
        <w:tc>
          <w:tcPr>
            <w:tcW w:w="4531" w:type="dxa"/>
            <w:vAlign w:val="center"/>
          </w:tcPr>
          <w:p w14:paraId="7FC6A347"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005FA694" wp14:editId="70861C22">
                  <wp:extent cx="2700000" cy="2077329"/>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077329"/>
                          </a:xfrm>
                          <a:prstGeom prst="rect">
                            <a:avLst/>
                          </a:prstGeom>
                        </pic:spPr>
                      </pic:pic>
                    </a:graphicData>
                  </a:graphic>
                </wp:inline>
              </w:drawing>
            </w:r>
          </w:p>
        </w:tc>
        <w:tc>
          <w:tcPr>
            <w:tcW w:w="4531" w:type="dxa"/>
            <w:vAlign w:val="center"/>
          </w:tcPr>
          <w:p w14:paraId="0272CDE3"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63F2302C" wp14:editId="5D2EFEE5">
                  <wp:extent cx="2700000" cy="2077329"/>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077329"/>
                          </a:xfrm>
                          <a:prstGeom prst="rect">
                            <a:avLst/>
                          </a:prstGeom>
                        </pic:spPr>
                      </pic:pic>
                    </a:graphicData>
                  </a:graphic>
                </wp:inline>
              </w:drawing>
            </w:r>
          </w:p>
        </w:tc>
      </w:tr>
      <w:tr w:rsidR="00131AD6" w:rsidRPr="00131AD6" w14:paraId="1914949F" w14:textId="77777777" w:rsidTr="00112F8A">
        <w:tc>
          <w:tcPr>
            <w:tcW w:w="4531" w:type="dxa"/>
            <w:vAlign w:val="center"/>
          </w:tcPr>
          <w:p w14:paraId="0ACF5F3B"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6EF57B25" wp14:editId="5A82201E">
                  <wp:extent cx="2700000" cy="2077329"/>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2077329"/>
                          </a:xfrm>
                          <a:prstGeom prst="rect">
                            <a:avLst/>
                          </a:prstGeom>
                        </pic:spPr>
                      </pic:pic>
                    </a:graphicData>
                  </a:graphic>
                </wp:inline>
              </w:drawing>
            </w:r>
          </w:p>
        </w:tc>
        <w:tc>
          <w:tcPr>
            <w:tcW w:w="4531" w:type="dxa"/>
            <w:vAlign w:val="center"/>
          </w:tcPr>
          <w:p w14:paraId="5084FE17"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4D170B78" wp14:editId="081FDC01">
                  <wp:extent cx="2700000" cy="2077329"/>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2077329"/>
                          </a:xfrm>
                          <a:prstGeom prst="rect">
                            <a:avLst/>
                          </a:prstGeom>
                        </pic:spPr>
                      </pic:pic>
                    </a:graphicData>
                  </a:graphic>
                </wp:inline>
              </w:drawing>
            </w:r>
          </w:p>
        </w:tc>
      </w:tr>
      <w:tr w:rsidR="00131AD6" w:rsidRPr="00131AD6" w14:paraId="36604054" w14:textId="77777777" w:rsidTr="00112F8A">
        <w:tc>
          <w:tcPr>
            <w:tcW w:w="9062" w:type="dxa"/>
            <w:gridSpan w:val="2"/>
          </w:tcPr>
          <w:p w14:paraId="459669A9" w14:textId="77777777" w:rsidR="00131AD6" w:rsidRPr="00131AD6" w:rsidRDefault="00131AD6" w:rsidP="00131AD6">
            <w:pPr>
              <w:jc w:val="both"/>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 xml:space="preserve">Figure S7. </w:t>
            </w:r>
            <w:r w:rsidRPr="00131AD6">
              <w:rPr>
                <w:rFonts w:ascii="Times New Roman" w:eastAsia="Arial" w:hAnsi="Times New Roman" w:cs="Arial"/>
                <w:kern w:val="3"/>
                <w:sz w:val="20"/>
                <w:lang w:val="en-GB" w:eastAsia="zh-CN" w:bidi="hi-IN"/>
              </w:rPr>
              <w:t xml:space="preserve">Relationships between the sum of dead crown pixels at different landscape scales around the study plot centres (from machine learning) and the actual forest dieback level quantified in </w:t>
            </w:r>
            <w:r w:rsidRPr="00131AD6">
              <w:rPr>
                <w:rFonts w:ascii="Times New Roman" w:eastAsia="Arial" w:hAnsi="Times New Roman" w:cs="Arial"/>
                <w:kern w:val="3"/>
                <w:sz w:val="20"/>
                <w:lang w:val="en-GB" w:eastAsia="zh-CN" w:bidi="hi-IN"/>
              </w:rPr>
              <w:fldChar w:fldCharType="begin"/>
            </w:r>
            <w:r w:rsidRPr="00131AD6">
              <w:rPr>
                <w:rFonts w:ascii="Times New Roman" w:eastAsia="Arial" w:hAnsi="Times New Roman" w:cs="Arial"/>
                <w:kern w:val="3"/>
                <w:sz w:val="20"/>
                <w:lang w:val="en-GB" w:eastAsia="zh-CN" w:bidi="hi-IN"/>
              </w:rPr>
              <w:instrText xml:space="preserve"> ADDIN ZOTERO_ITEM CSL_CITATION {"citationID":"bCMFs5zh","properties":{"formattedCitation":"(Senf and Seidl 2021)","plainCitation":"(Senf and Seidl 2021)","dontUpdate":true,"noteIndex":0},"citationItems":[{"id":2964,"uris":["http://zotero.org/users/3827830/items/XWY2ELEH"],"uri":["http://zotero.org/users/3827830/items/XWY2ELEH"],"itemData":{"id":2964,"type":"article-journal","abstract":"Changes in forest disturbances can have strong impacts on forests, yet we lack consistent data on Europe’s forest disturbance regimes and their changes over time. Here we used satellite data to map three decades of forest disturbances across continental Europe, and analysed the patterns and trends in disturbance size, frequency and severity. Between 1986 and 2016, 17% of Europe’s forest area was disturbed by anthropogenic and/or natural causes. We identified 36 million individual disturbance patches with a mean patch size of 1.09 ha, which equals an annual average of 0.52 disturbance patches per km2 of forest area. The majority of disturbances were stand replacing. While trends in disturbance size were highly variable, disturbance frequency consistently increased and disturbance severity decreased. Here we present a continental-scale characterization of Europe’s forest disturbance regimes and their changes over time, providing spatial information that is critical for understanding the ongoing changes in Europe’s forests.","container-title":"Nature Sustainability","DOI":"10.1038/s41893-020-00609-y","ISSN":"2398-9629","issue":"1","language":"en","note":"number: 1\npublisher: Nature Publishing Group","page":"63-70","source":"www.nature.com","title":"Mapping the forest disturbance regimes of Europe","volume":"4","author":[{"family":"Senf","given":"Cornelius"},{"family":"Seidl","given":"Rupert"}],"issued":{"date-parts":[["2021",1]]}}}],"schema":"https://github.com/citation-style-language/schema/raw/master/csl-citation.json"} </w:instrText>
            </w:r>
            <w:r w:rsidRPr="00131AD6">
              <w:rPr>
                <w:rFonts w:ascii="Times New Roman" w:eastAsia="Arial" w:hAnsi="Times New Roman" w:cs="Arial"/>
                <w:kern w:val="3"/>
                <w:sz w:val="20"/>
                <w:lang w:val="en-GB" w:eastAsia="zh-CN" w:bidi="hi-IN"/>
              </w:rPr>
              <w:fldChar w:fldCharType="separate"/>
            </w:r>
            <w:proofErr w:type="spellStart"/>
            <w:r w:rsidRPr="00131AD6">
              <w:rPr>
                <w:rFonts w:ascii="Times New Roman" w:eastAsia="Arial" w:hAnsi="Times New Roman" w:cs="Times New Roman"/>
                <w:kern w:val="3"/>
                <w:sz w:val="20"/>
                <w:lang w:val="en-GB" w:eastAsia="zh-CN" w:bidi="hi-IN"/>
              </w:rPr>
              <w:t>Senf</w:t>
            </w:r>
            <w:proofErr w:type="spellEnd"/>
            <w:r w:rsidRPr="00131AD6">
              <w:rPr>
                <w:rFonts w:ascii="Times New Roman" w:eastAsia="Arial" w:hAnsi="Times New Roman" w:cs="Times New Roman"/>
                <w:kern w:val="3"/>
                <w:sz w:val="20"/>
                <w:lang w:val="en-GB" w:eastAsia="zh-CN" w:bidi="hi-IN"/>
              </w:rPr>
              <w:t xml:space="preserve"> and </w:t>
            </w:r>
            <w:proofErr w:type="spellStart"/>
            <w:r w:rsidRPr="00131AD6">
              <w:rPr>
                <w:rFonts w:ascii="Times New Roman" w:eastAsia="Arial" w:hAnsi="Times New Roman" w:cs="Times New Roman"/>
                <w:kern w:val="3"/>
                <w:sz w:val="20"/>
                <w:lang w:val="en-GB" w:eastAsia="zh-CN" w:bidi="hi-IN"/>
              </w:rPr>
              <w:t>Seidl</w:t>
            </w:r>
            <w:proofErr w:type="spellEnd"/>
            <w:r w:rsidRPr="00131AD6">
              <w:rPr>
                <w:rFonts w:ascii="Times New Roman" w:eastAsia="Arial" w:hAnsi="Times New Roman" w:cs="Arial"/>
                <w:kern w:val="3"/>
                <w:sz w:val="20"/>
                <w:lang w:val="en-GB" w:eastAsia="zh-CN" w:bidi="hi-IN"/>
              </w:rPr>
              <w:fldChar w:fldCharType="end"/>
            </w:r>
            <w:r w:rsidRPr="00131AD6">
              <w:rPr>
                <w:rFonts w:ascii="Times New Roman" w:eastAsia="Arial" w:hAnsi="Times New Roman" w:cs="Arial"/>
                <w:kern w:val="3"/>
                <w:sz w:val="20"/>
                <w:lang w:val="en-GB" w:eastAsia="zh-CN" w:bidi="hi-IN"/>
              </w:rPr>
              <w:t xml:space="preserve"> (2021).</w:t>
            </w:r>
          </w:p>
        </w:tc>
      </w:tr>
    </w:tbl>
    <w:p w14:paraId="25909861" w14:textId="77777777" w:rsidR="00131AD6" w:rsidRPr="00131AD6" w:rsidRDefault="00131AD6" w:rsidP="00131AD6">
      <w:pPr>
        <w:rPr>
          <w:rFonts w:ascii="Times New Roman" w:eastAsia="Arial" w:hAnsi="Times New Roman" w:cs="Arial"/>
          <w:kern w:val="3"/>
          <w:sz w:val="20"/>
          <w:lang w:val="en-GB"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1AD6" w:rsidRPr="00131AD6" w14:paraId="1B64847F" w14:textId="77777777" w:rsidTr="00112F8A">
        <w:tc>
          <w:tcPr>
            <w:tcW w:w="4531" w:type="dxa"/>
          </w:tcPr>
          <w:p w14:paraId="37328E1E"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lastRenderedPageBreak/>
              <w:drawing>
                <wp:inline distT="0" distB="0" distL="0" distR="0" wp14:anchorId="4947CAEF" wp14:editId="624111FB">
                  <wp:extent cx="2700000" cy="2700000"/>
                  <wp:effectExtent l="0" t="0" r="571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531" w:type="dxa"/>
          </w:tcPr>
          <w:p w14:paraId="2982D650" w14:textId="77777777" w:rsidR="00131AD6" w:rsidRPr="00131AD6" w:rsidRDefault="00131AD6" w:rsidP="00131AD6">
            <w:pPr>
              <w:jc w:val="center"/>
              <w:rPr>
                <w:rFonts w:ascii="Times New Roman" w:eastAsia="Arial" w:hAnsi="Times New Roman" w:cs="Arial"/>
                <w:kern w:val="3"/>
                <w:sz w:val="20"/>
                <w:lang w:val="en-GB" w:eastAsia="zh-CN" w:bidi="hi-IN"/>
              </w:rPr>
            </w:pPr>
            <w:r w:rsidRPr="00131AD6">
              <w:rPr>
                <w:rFonts w:ascii="Times New Roman" w:eastAsia="Arial" w:hAnsi="Times New Roman" w:cs="Arial"/>
                <w:noProof/>
                <w:kern w:val="3"/>
                <w:sz w:val="20"/>
                <w:lang w:val="en-US"/>
              </w:rPr>
              <w:drawing>
                <wp:inline distT="0" distB="0" distL="0" distR="0" wp14:anchorId="755BBE3F" wp14:editId="5B9E5E96">
                  <wp:extent cx="2700000" cy="2700000"/>
                  <wp:effectExtent l="0" t="0" r="571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r w:rsidR="00131AD6" w:rsidRPr="00131AD6" w14:paraId="2F94FFDB" w14:textId="77777777" w:rsidTr="00112F8A">
        <w:tc>
          <w:tcPr>
            <w:tcW w:w="4531" w:type="dxa"/>
          </w:tcPr>
          <w:p w14:paraId="7A3BAFE9" w14:textId="77777777" w:rsidR="00131AD6" w:rsidRPr="00131AD6" w:rsidRDefault="00131AD6" w:rsidP="00131AD6">
            <w:pPr>
              <w:jc w:val="center"/>
              <w:rPr>
                <w:rFonts w:ascii="Times New Roman" w:eastAsia="Arial" w:hAnsi="Times New Roman" w:cs="Arial"/>
                <w:kern w:val="3"/>
                <w:sz w:val="20"/>
                <w:lang w:val="en-GB" w:eastAsia="fr-FR"/>
              </w:rPr>
            </w:pPr>
            <w:r w:rsidRPr="00131AD6">
              <w:rPr>
                <w:rFonts w:ascii="Times New Roman" w:eastAsia="Arial" w:hAnsi="Times New Roman" w:cs="Arial"/>
                <w:noProof/>
                <w:kern w:val="3"/>
                <w:sz w:val="20"/>
                <w:lang w:val="en-US"/>
              </w:rPr>
              <w:drawing>
                <wp:inline distT="0" distB="0" distL="0" distR="0" wp14:anchorId="659F8951" wp14:editId="3463C6B0">
                  <wp:extent cx="2700000" cy="2700000"/>
                  <wp:effectExtent l="0" t="0" r="571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531" w:type="dxa"/>
          </w:tcPr>
          <w:p w14:paraId="5ED86B30" w14:textId="77777777" w:rsidR="00131AD6" w:rsidRPr="00131AD6" w:rsidRDefault="00131AD6" w:rsidP="00131AD6">
            <w:pPr>
              <w:jc w:val="center"/>
              <w:rPr>
                <w:rFonts w:ascii="Times New Roman" w:eastAsia="Arial" w:hAnsi="Times New Roman" w:cs="Arial"/>
                <w:kern w:val="3"/>
                <w:sz w:val="20"/>
                <w:lang w:val="en-GB" w:eastAsia="fr-FR"/>
              </w:rPr>
            </w:pPr>
            <w:r w:rsidRPr="00131AD6">
              <w:rPr>
                <w:rFonts w:ascii="Times New Roman" w:eastAsia="Arial" w:hAnsi="Times New Roman" w:cs="Arial"/>
                <w:noProof/>
                <w:kern w:val="3"/>
                <w:sz w:val="20"/>
                <w:lang w:val="en-US"/>
              </w:rPr>
              <w:drawing>
                <wp:inline distT="0" distB="0" distL="0" distR="0" wp14:anchorId="72CA14BE" wp14:editId="4D8AAFD0">
                  <wp:extent cx="2700000" cy="2700000"/>
                  <wp:effectExtent l="0" t="0" r="5715"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r w:rsidR="00131AD6" w:rsidRPr="00131AD6" w14:paraId="5FE70A21" w14:textId="77777777" w:rsidTr="00112F8A">
        <w:tc>
          <w:tcPr>
            <w:tcW w:w="9062" w:type="dxa"/>
            <w:gridSpan w:val="2"/>
          </w:tcPr>
          <w:p w14:paraId="0F17783B" w14:textId="77777777" w:rsidR="00131AD6" w:rsidRDefault="00131AD6" w:rsidP="00131AD6">
            <w:pPr>
              <w:jc w:val="both"/>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Figure S8. Above-left</w:t>
            </w:r>
            <w:r w:rsidRPr="00131AD6">
              <w:rPr>
                <w:rFonts w:ascii="Times New Roman" w:eastAsia="Arial" w:hAnsi="Times New Roman" w:cs="Arial"/>
                <w:kern w:val="3"/>
                <w:sz w:val="20"/>
                <w:lang w:val="en-GB" w:eastAsia="zh-CN" w:bidi="hi-IN"/>
              </w:rPr>
              <w:t xml:space="preserve">: correlation table with dead crown sums according to different spatial scales. </w:t>
            </w:r>
          </w:p>
          <w:p w14:paraId="0E252011" w14:textId="77777777" w:rsidR="00131AD6" w:rsidRDefault="00131AD6" w:rsidP="00131AD6">
            <w:pPr>
              <w:jc w:val="both"/>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Above-right</w:t>
            </w:r>
            <w:r w:rsidRPr="00131AD6">
              <w:rPr>
                <w:rFonts w:ascii="Times New Roman" w:eastAsia="Arial" w:hAnsi="Times New Roman" w:cs="Arial"/>
                <w:kern w:val="3"/>
                <w:sz w:val="20"/>
                <w:lang w:val="en-GB" w:eastAsia="zh-CN" w:bidi="hi-IN"/>
              </w:rPr>
              <w:t xml:space="preserve">: results from the Principal component analysis (PCA) of all the spatial scales for forest dieback. </w:t>
            </w:r>
            <w:r w:rsidRPr="00131AD6">
              <w:rPr>
                <w:rFonts w:ascii="Times New Roman" w:eastAsia="Arial" w:hAnsi="Times New Roman" w:cs="Arial"/>
                <w:b/>
                <w:bCs/>
                <w:kern w:val="3"/>
                <w:sz w:val="20"/>
                <w:lang w:val="en-GB" w:eastAsia="zh-CN" w:bidi="hi-IN"/>
              </w:rPr>
              <w:t>Bottom-left</w:t>
            </w:r>
            <w:r w:rsidRPr="00131AD6">
              <w:rPr>
                <w:rFonts w:ascii="Times New Roman" w:eastAsia="Arial" w:hAnsi="Times New Roman" w:cs="Arial"/>
                <w:kern w:val="3"/>
                <w:sz w:val="20"/>
                <w:lang w:val="en-GB" w:eastAsia="zh-CN" w:bidi="hi-IN"/>
              </w:rPr>
              <w:t>: correlation between the dead crown sums and PCA dimensions</w:t>
            </w:r>
            <w:r w:rsidRPr="00131AD6" w:rsidDel="0007017C">
              <w:rPr>
                <w:rFonts w:ascii="Times New Roman" w:eastAsia="Arial" w:hAnsi="Times New Roman" w:cs="Arial"/>
                <w:kern w:val="3"/>
                <w:sz w:val="20"/>
                <w:lang w:val="en-GB" w:eastAsia="zh-CN" w:bidi="hi-IN"/>
              </w:rPr>
              <w:t xml:space="preserve"> </w:t>
            </w:r>
            <w:r w:rsidRPr="00131AD6">
              <w:rPr>
                <w:rFonts w:ascii="Times New Roman" w:eastAsia="Arial" w:hAnsi="Times New Roman" w:cs="Arial"/>
                <w:kern w:val="3"/>
                <w:sz w:val="20"/>
                <w:lang w:val="en-GB" w:eastAsia="zh-CN" w:bidi="hi-IN"/>
              </w:rPr>
              <w:t xml:space="preserve">at different spatial scales. </w:t>
            </w:r>
          </w:p>
          <w:p w14:paraId="02285239" w14:textId="58FA1C86" w:rsidR="00131AD6" w:rsidRPr="00131AD6" w:rsidRDefault="00131AD6" w:rsidP="00131AD6">
            <w:pPr>
              <w:jc w:val="both"/>
              <w:rPr>
                <w:rFonts w:ascii="Times New Roman" w:eastAsia="Arial" w:hAnsi="Times New Roman" w:cs="Arial"/>
                <w:kern w:val="3"/>
                <w:sz w:val="20"/>
                <w:lang w:val="en-GB" w:eastAsia="zh-CN" w:bidi="hi-IN"/>
              </w:rPr>
            </w:pPr>
            <w:r w:rsidRPr="00131AD6">
              <w:rPr>
                <w:rFonts w:ascii="Times New Roman" w:eastAsia="Arial" w:hAnsi="Times New Roman" w:cs="Arial"/>
                <w:b/>
                <w:bCs/>
                <w:kern w:val="3"/>
                <w:sz w:val="20"/>
                <w:lang w:val="en-GB" w:eastAsia="zh-CN" w:bidi="hi-IN"/>
              </w:rPr>
              <w:t>Bottom-right</w:t>
            </w:r>
            <w:r w:rsidRPr="00131AD6">
              <w:rPr>
                <w:rFonts w:ascii="Times New Roman" w:eastAsia="Arial" w:hAnsi="Times New Roman" w:cs="Arial"/>
                <w:kern w:val="3"/>
                <w:sz w:val="20"/>
                <w:lang w:val="en-GB" w:eastAsia="zh-CN" w:bidi="hi-IN"/>
              </w:rPr>
              <w:t>: cluster dendrogram of the dead crown sums at different spatial scales. There are three main clusters: local (25m radius), intermediate-landscape (200m radius) and large-landscape (500m to 1500m radius) scales.</w:t>
            </w:r>
          </w:p>
        </w:tc>
      </w:tr>
    </w:tbl>
    <w:p w14:paraId="3D7C8163" w14:textId="77777777" w:rsidR="00131AD6" w:rsidRPr="00131AD6" w:rsidRDefault="00131AD6" w:rsidP="00131AD6">
      <w:pPr>
        <w:rPr>
          <w:rFonts w:ascii="Times New Roman" w:eastAsia="Arial" w:hAnsi="Times New Roman" w:cs="Arial"/>
          <w:kern w:val="3"/>
          <w:sz w:val="20"/>
          <w:lang w:val="en-GB" w:eastAsia="zh-CN" w:bidi="hi-IN"/>
        </w:rPr>
      </w:pPr>
    </w:p>
    <w:p w14:paraId="2A6F6D79" w14:textId="77777777" w:rsidR="000E7ADD" w:rsidRPr="00131AD6" w:rsidRDefault="000E7ADD">
      <w:pPr>
        <w:rPr>
          <w:lang w:val="en-GB"/>
        </w:rPr>
      </w:pPr>
    </w:p>
    <w:sectPr w:rsidR="000E7ADD" w:rsidRPr="00131AD6" w:rsidSect="00840755">
      <w:footerReference w:type="default" r:id="rId22"/>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PL SungtiL GB">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914084"/>
      <w:docPartObj>
        <w:docPartGallery w:val="Page Numbers (Bottom of Page)"/>
        <w:docPartUnique/>
      </w:docPartObj>
    </w:sdtPr>
    <w:sdtEndPr/>
    <w:sdtContent>
      <w:p w14:paraId="5C87A2E4" w14:textId="77777777" w:rsidR="00495F08" w:rsidRDefault="00131AD6">
        <w:pPr>
          <w:pStyle w:val="Pieddepage"/>
          <w:jc w:val="right"/>
        </w:pPr>
        <w:r>
          <w:fldChar w:fldCharType="begin"/>
        </w:r>
        <w:r>
          <w:instrText>PAGE   \* MERGEFORMAT</w:instrText>
        </w:r>
        <w:r>
          <w:fldChar w:fldCharType="separate"/>
        </w:r>
        <w:r w:rsidRPr="0007017C">
          <w:rPr>
            <w:noProof/>
          </w:rPr>
          <w:t>43</w:t>
        </w:r>
        <w:r>
          <w:fldChar w:fldCharType="end"/>
        </w:r>
      </w:p>
    </w:sdtContent>
  </w:sdt>
  <w:p w14:paraId="5A80E6FC" w14:textId="77777777" w:rsidR="00495F08" w:rsidRDefault="00131AD6">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AD6"/>
    <w:rsid w:val="000E7ADD"/>
    <w:rsid w:val="00131A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D2C5"/>
  <w15:chartTrackingRefBased/>
  <w15:docId w15:val="{59C984FF-AED2-4C80-B80B-B2A642CA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131AD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31AD6"/>
  </w:style>
  <w:style w:type="table" w:styleId="Grilledutableau">
    <w:name w:val="Table Grid"/>
    <w:basedOn w:val="TableauNormal"/>
    <w:uiPriority w:val="39"/>
    <w:rsid w:val="0013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131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1339</Words>
  <Characters>7368</Characters>
  <Application>Microsoft Office Word</Application>
  <DocSecurity>0</DocSecurity>
  <Lines>61</Lines>
  <Paragraphs>17</Paragraphs>
  <ScaleCrop>false</ScaleCrop>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Jérémy COURS</dc:creator>
  <cp:keywords/>
  <dc:description/>
  <cp:lastModifiedBy>Jérémy COURS</cp:lastModifiedBy>
  <cp:revision>1</cp:revision>
  <dcterms:created xsi:type="dcterms:W3CDTF">2021-11-04T16:35:00Z</dcterms:created>
  <dcterms:modified xsi:type="dcterms:W3CDTF">2021-11-04T16:37:00Z</dcterms:modified>
</cp:coreProperties>
</file>