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EB" w:rsidRPr="008C42FE" w:rsidRDefault="004F4CEB" w:rsidP="004F4CEB">
      <w:pPr>
        <w:pStyle w:val="Lgende"/>
        <w:keepNext/>
        <w:spacing w:after="0" w:line="480" w:lineRule="auto"/>
      </w:pPr>
      <w:r w:rsidRPr="008C42FE">
        <w:rPr>
          <w:rFonts w:ascii="Arial" w:hAnsi="Arial" w:cs="Arial"/>
          <w:b/>
          <w:sz w:val="32"/>
          <w:szCs w:val="32"/>
        </w:rPr>
        <w:t>Additional file</w:t>
      </w:r>
      <w:r>
        <w:rPr>
          <w:rFonts w:ascii="Arial" w:hAnsi="Arial" w:cs="Arial"/>
          <w:b/>
          <w:sz w:val="32"/>
          <w:szCs w:val="32"/>
        </w:rPr>
        <w:t xml:space="preserve"> 1 </w:t>
      </w:r>
      <w:bookmarkStart w:id="0" w:name="_GoBack"/>
      <w:bookmarkEnd w:id="0"/>
    </w:p>
    <w:p w:rsidR="004F4CEB" w:rsidRPr="008C42FE" w:rsidRDefault="004F4CEB" w:rsidP="004F4CEB">
      <w:pPr>
        <w:pStyle w:val="Lgende"/>
        <w:keepNext/>
        <w:spacing w:after="0" w:line="480" w:lineRule="auto"/>
      </w:pPr>
      <w:r w:rsidRPr="008C42FE">
        <w:t xml:space="preserve">Additional file </w:t>
      </w:r>
      <w:r w:rsidRPr="008C42FE">
        <w:fldChar w:fldCharType="begin"/>
      </w:r>
      <w:r w:rsidRPr="008C42FE">
        <w:instrText xml:space="preserve"> SEQ Table \* ARABIC </w:instrText>
      </w:r>
      <w:r w:rsidRPr="008C42FE">
        <w:fldChar w:fldCharType="separate"/>
      </w:r>
      <w:r w:rsidRPr="008C42FE">
        <w:rPr>
          <w:noProof/>
        </w:rPr>
        <w:t>1</w:t>
      </w:r>
      <w:r w:rsidRPr="008C42FE">
        <w:rPr>
          <w:noProof/>
        </w:rPr>
        <w:fldChar w:fldCharType="end"/>
      </w:r>
      <w:r w:rsidRPr="008C42FE">
        <w:rPr>
          <w:noProof/>
        </w:rPr>
        <w:t>.</w:t>
      </w:r>
      <w:r w:rsidRPr="008C42FE">
        <w:t xml:space="preserve"> Description of the assessed clinical trial designs.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"/>
        <w:gridCol w:w="2440"/>
        <w:gridCol w:w="2794"/>
        <w:gridCol w:w="7471"/>
      </w:tblGrid>
      <w:tr w:rsidR="004F4CEB" w:rsidRPr="008C42FE" w:rsidTr="00E01B39">
        <w:trPr>
          <w:trHeight w:val="330"/>
          <w:jc w:val="center"/>
        </w:trPr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>Single-arm</w:t>
            </w:r>
          </w:p>
          <w:p w:rsidR="004F4CEB" w:rsidRPr="008C42FE" w:rsidRDefault="004F4CEB" w:rsidP="004F4CEB">
            <w:pPr>
              <w:pStyle w:val="Sansinterligne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>Historical comparison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>Two-arm</w:t>
            </w:r>
          </w:p>
          <w:p w:rsidR="004F4CEB" w:rsidRPr="008C42FE" w:rsidRDefault="004F4CEB" w:rsidP="004F4CEB">
            <w:pPr>
              <w:pStyle w:val="Sansinterligne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>Randomization 1:1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 xml:space="preserve">Statistical analyses </w:t>
            </w:r>
          </w:p>
        </w:tc>
      </w:tr>
      <w:tr w:rsidR="004F4CEB" w:rsidRPr="008C42FE" w:rsidTr="00E01B39">
        <w:trPr>
          <w:trHeight w:val="977"/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>Fixed design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F1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H</w:t>
            </w:r>
            <w:r w:rsidRPr="008C42FE">
              <w:rPr>
                <w:vertAlign w:val="subscript"/>
                <w:lang w:val="en-GB"/>
              </w:rPr>
              <w:t>0</w:t>
            </w:r>
            <w:r w:rsidRPr="008C42FE">
              <w:rPr>
                <w:lang w:val="en-GB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E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=</m:t>
              </m:r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H</m:t>
                  </m:r>
                </m:sub>
              </m:sSub>
              <m:r>
                <m:rPr>
                  <m:nor/>
                </m:rPr>
                <w:rPr>
                  <w:lang w:val="en-GB"/>
                </w:rPr>
                <m:t> </m:t>
              </m:r>
            </m:oMath>
            <w:r w:rsidRPr="008C42FE">
              <w:rPr>
                <w:i/>
                <w:lang w:val="en-GB"/>
              </w:rPr>
              <w:t>vs</w:t>
            </w:r>
            <w:r w:rsidRPr="008C42FE">
              <w:rPr>
                <w:lang w:val="en-GB"/>
              </w:rPr>
              <w:t>.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H</w:t>
            </w:r>
            <w:r w:rsidRPr="008C42FE">
              <w:rPr>
                <w:vertAlign w:val="subscript"/>
                <w:lang w:val="en-GB"/>
              </w:rPr>
              <w:t>1</w:t>
            </w:r>
            <w:r w:rsidRPr="008C42FE">
              <w:rPr>
                <w:lang w:val="en-GB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E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&gt;</m:t>
              </m:r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H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F2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H</w:t>
            </w:r>
            <w:r w:rsidRPr="008C42FE">
              <w:rPr>
                <w:vertAlign w:val="subscript"/>
                <w:lang w:val="en-GB"/>
              </w:rPr>
              <w:t>0</w:t>
            </w:r>
            <w:r w:rsidRPr="008C42FE">
              <w:rPr>
                <w:lang w:val="en-GB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E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GB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C</m:t>
                  </m:r>
                </m:sub>
              </m:sSub>
              <m:r>
                <m:rPr>
                  <m:nor/>
                </m:rPr>
                <w:rPr>
                  <w:lang w:val="en-GB"/>
                </w:rPr>
                <m:t> </m:t>
              </m:r>
            </m:oMath>
            <w:r w:rsidRPr="008C42FE">
              <w:rPr>
                <w:i/>
                <w:lang w:val="en-GB"/>
              </w:rPr>
              <w:t>vs</w:t>
            </w:r>
            <w:r w:rsidRPr="008C42FE">
              <w:rPr>
                <w:lang w:val="en-GB"/>
              </w:rPr>
              <w:t>.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H</w:t>
            </w:r>
            <w:r w:rsidRPr="008C42FE">
              <w:rPr>
                <w:vertAlign w:val="subscript"/>
                <w:lang w:val="en-GB"/>
              </w:rPr>
              <w:t>1</w:t>
            </w:r>
            <w:r w:rsidRPr="008C42FE">
              <w:rPr>
                <w:lang w:val="en-GB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E</m:t>
                  </m:r>
                </m:sub>
              </m:sSub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lang w:val="en-GB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GB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C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jc w:val="left"/>
              <w:rPr>
                <w:lang w:val="en-GB"/>
              </w:rPr>
            </w:pPr>
            <w:r w:rsidRPr="008C42FE">
              <w:rPr>
                <w:lang w:val="en-GB"/>
              </w:rPr>
              <w:t xml:space="preserve">Unilateral Z tests </w:t>
            </w:r>
          </w:p>
          <w:p w:rsidR="004F4CEB" w:rsidRPr="008C42FE" w:rsidRDefault="004F4CEB" w:rsidP="00E01B39">
            <w:pPr>
              <w:pStyle w:val="Sansinterligne"/>
              <w:jc w:val="left"/>
              <w:rPr>
                <w:lang w:val="en-GB"/>
              </w:rPr>
            </w:pPr>
            <w:r w:rsidRPr="008C42FE">
              <w:rPr>
                <w:lang w:val="en-GB"/>
              </w:rPr>
              <w:t xml:space="preserve">If p-value &lt; 0.025, significant test </w:t>
            </w:r>
          </w:p>
        </w:tc>
      </w:tr>
      <w:tr w:rsidR="004F4CEB" w:rsidRPr="008C42FE" w:rsidTr="00E01B39">
        <w:trPr>
          <w:trHeight w:val="1202"/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b/>
                <w:lang w:val="en-GB"/>
              </w:rPr>
            </w:pPr>
            <w:r w:rsidRPr="008C42FE">
              <w:rPr>
                <w:b/>
                <w:lang w:val="en-GB"/>
              </w:rPr>
              <w:t>Sequential design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S1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H</w:t>
            </w:r>
            <w:r w:rsidRPr="008C42FE">
              <w:rPr>
                <w:vertAlign w:val="subscript"/>
                <w:lang w:val="en-GB"/>
              </w:rPr>
              <w:t>0</w:t>
            </w:r>
            <w:r w:rsidRPr="008C42FE">
              <w:rPr>
                <w:lang w:val="en-GB"/>
              </w:rPr>
              <w:t xml:space="preserve">: Θ = 0 </w:t>
            </w:r>
            <w:r w:rsidRPr="008C42FE">
              <w:rPr>
                <w:i/>
                <w:lang w:val="en-GB"/>
              </w:rPr>
              <w:t>vs.</w:t>
            </w:r>
            <w:r w:rsidRPr="008C42FE">
              <w:rPr>
                <w:lang w:val="en-GB"/>
              </w:rPr>
              <w:t xml:space="preserve"> H</w:t>
            </w:r>
            <w:r w:rsidRPr="008C42FE">
              <w:rPr>
                <w:vertAlign w:val="subscript"/>
                <w:lang w:val="en-GB"/>
              </w:rPr>
              <w:t>1</w:t>
            </w:r>
            <w:r w:rsidRPr="008C42FE">
              <w:rPr>
                <w:lang w:val="en-GB"/>
              </w:rPr>
              <w:t>: Θ &gt; 0,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with Θ</w:t>
            </w:r>
            <m:oMath>
              <m:r>
                <w:rPr>
                  <w:rFonts w:ascii="Cambria Math" w:eastAsiaTheme="minorEastAsia" w:hAns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=</m:t>
              </m:r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log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E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H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H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E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)</m:t>
                      </m:r>
                    </m:den>
                  </m:f>
                </m:e>
              </m:d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S2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H</w:t>
            </w:r>
            <w:r w:rsidRPr="008C42FE">
              <w:rPr>
                <w:vertAlign w:val="subscript"/>
                <w:lang w:val="en-GB"/>
              </w:rPr>
              <w:t>0</w:t>
            </w:r>
            <w:r w:rsidRPr="008C42FE">
              <w:rPr>
                <w:lang w:val="en-GB"/>
              </w:rPr>
              <w:t xml:space="preserve">: Θ = 0 </w:t>
            </w:r>
            <w:r w:rsidRPr="008C42FE">
              <w:rPr>
                <w:i/>
                <w:lang w:val="en-GB"/>
              </w:rPr>
              <w:t>vs</w:t>
            </w:r>
            <w:r w:rsidRPr="008C42FE">
              <w:rPr>
                <w:lang w:val="en-GB"/>
              </w:rPr>
              <w:t>. H</w:t>
            </w:r>
            <w:r w:rsidRPr="008C42FE">
              <w:rPr>
                <w:vertAlign w:val="subscript"/>
                <w:lang w:val="en-GB"/>
              </w:rPr>
              <w:t>1</w:t>
            </w:r>
            <w:r w:rsidRPr="008C42FE">
              <w:rPr>
                <w:lang w:val="en-GB"/>
              </w:rPr>
              <w:t>: Θ &gt; 0,</w:t>
            </w: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</w:p>
          <w:p w:rsidR="004F4CEB" w:rsidRPr="008C42FE" w:rsidRDefault="004F4CEB" w:rsidP="00E01B39">
            <w:pPr>
              <w:pStyle w:val="Sansinterligne"/>
              <w:rPr>
                <w:lang w:val="en-GB"/>
              </w:rPr>
            </w:pPr>
            <w:r w:rsidRPr="008C42FE">
              <w:rPr>
                <w:lang w:val="en-GB"/>
              </w:rPr>
              <w:t>with Θ</w:t>
            </w:r>
            <m:oMath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=</m:t>
              </m:r>
              <m:r>
                <m:rPr>
                  <m:nor/>
                </m:rPr>
                <w:rPr>
                  <w:rFonts w:asci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log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E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C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C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en-GB"/>
                            </w:rPr>
                            <m:t>E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lang w:val="en-GB"/>
                        </w:rPr>
                        <m:t>)</m:t>
                      </m:r>
                    </m:den>
                  </m:f>
                </m:e>
              </m:d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4CEB" w:rsidRPr="008C42FE" w:rsidRDefault="004F4CEB" w:rsidP="004F4CEB">
            <w:pPr>
              <w:pStyle w:val="Sansinterligne"/>
              <w:numPr>
                <w:ilvl w:val="0"/>
                <w:numId w:val="2"/>
              </w:numPr>
              <w:ind w:left="367"/>
              <w:jc w:val="left"/>
              <w:rPr>
                <w:lang w:val="en-GB"/>
              </w:rPr>
            </w:pPr>
            <w:r w:rsidRPr="008C42FE">
              <w:rPr>
                <w:lang w:val="en-GB"/>
              </w:rPr>
              <w:t>Whitehead triangular tests</w:t>
            </w:r>
          </w:p>
          <w:p w:rsidR="004F4CEB" w:rsidRPr="008C42FE" w:rsidRDefault="004F4CEB" w:rsidP="004F4CEB">
            <w:pPr>
              <w:pStyle w:val="Sansinterligne"/>
              <w:numPr>
                <w:ilvl w:val="0"/>
                <w:numId w:val="2"/>
              </w:numPr>
              <w:ind w:left="367"/>
              <w:jc w:val="left"/>
              <w:rPr>
                <w:lang w:val="en-GB"/>
              </w:rPr>
            </w:pPr>
            <w:r w:rsidRPr="008C42FE">
              <w:rPr>
                <w:lang w:val="en-GB"/>
              </w:rPr>
              <w:t>Stopping boundaries defined with α = 0.025</w:t>
            </w:r>
          </w:p>
          <w:p w:rsidR="004F4CEB" w:rsidRPr="008C42FE" w:rsidRDefault="004F4CEB" w:rsidP="004F4CEB">
            <w:pPr>
              <w:pStyle w:val="Sansinterligne"/>
              <w:numPr>
                <w:ilvl w:val="0"/>
                <w:numId w:val="2"/>
              </w:numPr>
              <w:ind w:left="367"/>
              <w:jc w:val="left"/>
              <w:rPr>
                <w:lang w:val="en-GB"/>
              </w:rPr>
            </w:pPr>
            <w:r w:rsidRPr="008C42FE">
              <w:rPr>
                <w:lang w:val="en-GB"/>
              </w:rPr>
              <w:t>Significant test if the test statistic was superior to the upper stopping boundary</w:t>
            </w:r>
          </w:p>
          <w:p w:rsidR="004F4CEB" w:rsidRPr="008C42FE" w:rsidRDefault="004F4CEB" w:rsidP="004F4CEB">
            <w:pPr>
              <w:pStyle w:val="Sansinterligne"/>
              <w:numPr>
                <w:ilvl w:val="0"/>
                <w:numId w:val="2"/>
              </w:numPr>
              <w:ind w:left="367"/>
              <w:jc w:val="left"/>
              <w:rPr>
                <w:lang w:val="en-GB"/>
              </w:rPr>
            </w:pPr>
            <w:r w:rsidRPr="008C42FE">
              <w:rPr>
                <w:lang w:val="en-GB"/>
              </w:rPr>
              <w:t>Number of interim analyses defined a priori: every 20 patients included</w:t>
            </w:r>
          </w:p>
        </w:tc>
      </w:tr>
    </w:tbl>
    <w:p w:rsidR="00C35790" w:rsidRDefault="004F4CEB" w:rsidP="004F4CEB">
      <w:pPr>
        <w:spacing w:after="0"/>
      </w:pPr>
      <w:r w:rsidRPr="008C42FE">
        <w:rPr>
          <w:rFonts w:eastAsiaTheme="minorEastAsia"/>
        </w:rPr>
        <w:t xml:space="preserve">Abbreviations: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p</m:t>
            </m:r>
          </m:e>
          <m:sub>
            <m:r>
              <m:rPr>
                <m:nor/>
              </m:rPr>
              <m:t>C</m:t>
            </m:r>
          </m:sub>
        </m:sSub>
      </m:oMath>
      <w:r w:rsidRPr="008C42FE">
        <w:rPr>
          <w:lang w:eastAsia="en-GB"/>
        </w:rPr>
        <w:t xml:space="preserve">indicates control survival rate; </w:t>
      </w:r>
      <w:r w:rsidRPr="008C42FE">
        <w:t>p</w:t>
      </w:r>
      <w:r w:rsidRPr="008C42FE">
        <w:rPr>
          <w:vertAlign w:val="subscript"/>
        </w:rPr>
        <w:t>H</w:t>
      </w:r>
      <w:r w:rsidRPr="008C42FE">
        <w:rPr>
          <w:lang w:eastAsia="en-GB"/>
        </w:rPr>
        <w:t xml:space="preserve">: pre-trial historical survival rate;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p</m:t>
            </m:r>
          </m:e>
          <m:sub>
            <m:r>
              <m:rPr>
                <m:nor/>
              </m:rPr>
              <w:rPr>
                <w:rFonts w:ascii="Cambria Math"/>
              </w:rPr>
              <m:t>E</m:t>
            </m:r>
          </m:sub>
        </m:sSub>
      </m:oMath>
      <w:r w:rsidRPr="008C42FE">
        <w:rPr>
          <w:lang w:eastAsia="en-GB"/>
        </w:rPr>
        <w:t>: experimental survival rate;</w:t>
      </w:r>
      <w:r w:rsidRPr="008C42FE">
        <w:t xml:space="preserve"> F1: fixed single-arm design; S1: group-sequential single-arm design; F2: fixed double-arm design; S2: group-sequential double-arm design</w:t>
      </w:r>
      <w:r w:rsidRPr="008C42FE">
        <w:rPr>
          <w:lang w:eastAsia="en-GB"/>
        </w:rPr>
        <w:t>.</w:t>
      </w:r>
    </w:p>
    <w:sectPr w:rsidR="00C35790" w:rsidSect="004F4CEB">
      <w:endnotePr>
        <w:numFmt w:val="decimal"/>
      </w:endnotePr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450B3"/>
    <w:multiLevelType w:val="hybridMultilevel"/>
    <w:tmpl w:val="1214C922"/>
    <w:lvl w:ilvl="0" w:tplc="4C94190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0E15"/>
    <w:multiLevelType w:val="hybridMultilevel"/>
    <w:tmpl w:val="C54EC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EB"/>
    <w:rsid w:val="004F4CEB"/>
    <w:rsid w:val="00C35790"/>
    <w:rsid w:val="00E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CCC5"/>
  <w15:chartTrackingRefBased/>
  <w15:docId w15:val="{63E05D4F-A959-4315-9B33-F70336D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EB"/>
    <w:pPr>
      <w:spacing w:line="480" w:lineRule="auto"/>
      <w:jc w:val="both"/>
    </w:pPr>
    <w:rPr>
      <w:rFonts w:ascii="Times" w:hAnsi="Times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F4CEB"/>
    <w:pPr>
      <w:spacing w:after="0" w:line="480" w:lineRule="auto"/>
      <w:jc w:val="both"/>
    </w:pPr>
    <w:rPr>
      <w:rFonts w:ascii="Times" w:hAnsi="Time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F4CEB"/>
    <w:rPr>
      <w:rFonts w:ascii="Times" w:hAnsi="Times"/>
    </w:rPr>
  </w:style>
  <w:style w:type="paragraph" w:styleId="Lgende">
    <w:name w:val="caption"/>
    <w:basedOn w:val="Normal"/>
    <w:next w:val="Normal"/>
    <w:uiPriority w:val="35"/>
    <w:unhideWhenUsed/>
    <w:qFormat/>
    <w:rsid w:val="004F4CEB"/>
    <w:pPr>
      <w:spacing w:after="200" w:line="240" w:lineRule="auto"/>
    </w:pPr>
    <w:rPr>
      <w:iCs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4F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MANCHON</dc:creator>
  <cp:keywords/>
  <dc:description/>
  <cp:lastModifiedBy>Pauline MANCHON</cp:lastModifiedBy>
  <cp:revision>1</cp:revision>
  <dcterms:created xsi:type="dcterms:W3CDTF">2020-10-26T10:23:00Z</dcterms:created>
  <dcterms:modified xsi:type="dcterms:W3CDTF">2020-10-26T10:24:00Z</dcterms:modified>
</cp:coreProperties>
</file>