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087" w:rsidRDefault="00CA1087" w:rsidP="00CA1087">
      <w:pPr>
        <w:rPr>
          <w:lang w:val="en-GB"/>
        </w:rPr>
      </w:pPr>
      <w:r>
        <w:rPr>
          <w:b/>
          <w:bCs/>
          <w:noProof/>
          <w:sz w:val="24"/>
          <w:szCs w:val="28"/>
          <w:lang w:val="en-GB"/>
        </w:rPr>
        <w:t xml:space="preserve">Supplementary </w:t>
      </w:r>
      <w:r w:rsidRPr="00547679">
        <w:rPr>
          <w:b/>
          <w:bCs/>
          <w:noProof/>
          <w:sz w:val="24"/>
          <w:szCs w:val="28"/>
          <w:lang w:val="en-GB"/>
        </w:rPr>
        <w:t>Figures:</w:t>
      </w:r>
    </w:p>
    <w:p w:rsidR="00CA1087" w:rsidRDefault="00CA1087" w:rsidP="00CA1087">
      <w:pPr>
        <w:jc w:val="both"/>
        <w:rPr>
          <w:lang w:val="en-GB"/>
        </w:rPr>
      </w:pPr>
      <w:r w:rsidRPr="00FE65F8">
        <w:rPr>
          <w:noProof/>
          <w:lang w:val="en-US"/>
        </w:rPr>
        <w:drawing>
          <wp:inline distT="0" distB="0" distL="0" distR="0" wp14:anchorId="7333D745" wp14:editId="26D66981">
            <wp:extent cx="5080000" cy="5283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80000" cy="5283200"/>
                    </a:xfrm>
                    <a:prstGeom prst="rect">
                      <a:avLst/>
                    </a:prstGeom>
                  </pic:spPr>
                </pic:pic>
              </a:graphicData>
            </a:graphic>
          </wp:inline>
        </w:drawing>
      </w:r>
    </w:p>
    <w:p w:rsidR="00CA1087" w:rsidRDefault="00CA1087" w:rsidP="00CA1087">
      <w:pPr>
        <w:jc w:val="both"/>
        <w:rPr>
          <w:lang w:val="en-GB"/>
        </w:rPr>
      </w:pPr>
      <w:r w:rsidRPr="00FE65F8">
        <w:rPr>
          <w:noProof/>
          <w:lang w:val="en-US"/>
        </w:rPr>
        <w:lastRenderedPageBreak/>
        <w:drawing>
          <wp:inline distT="0" distB="0" distL="0" distR="0" wp14:anchorId="0A9A4206" wp14:editId="5AE39095">
            <wp:extent cx="5080000" cy="60198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80000" cy="6019800"/>
                    </a:xfrm>
                    <a:prstGeom prst="rect">
                      <a:avLst/>
                    </a:prstGeom>
                  </pic:spPr>
                </pic:pic>
              </a:graphicData>
            </a:graphic>
          </wp:inline>
        </w:drawing>
      </w:r>
    </w:p>
    <w:p w:rsidR="00CA1087" w:rsidRDefault="00CA1087" w:rsidP="00CA1087">
      <w:pPr>
        <w:jc w:val="both"/>
        <w:rPr>
          <w:lang w:val="en-GB"/>
        </w:rPr>
      </w:pPr>
      <w:r w:rsidRPr="00305CB2">
        <w:rPr>
          <w:b/>
          <w:bCs/>
          <w:lang w:val="en-GB"/>
        </w:rPr>
        <w:lastRenderedPageBreak/>
        <w:t>Fig. S1</w:t>
      </w:r>
      <w:r w:rsidRPr="007B1466">
        <w:rPr>
          <w:b/>
          <w:bCs/>
          <w:lang w:val="en-GB"/>
        </w:rPr>
        <w:t xml:space="preserve">. </w:t>
      </w:r>
      <w:r w:rsidRPr="00305CB2">
        <w:rPr>
          <w:b/>
          <w:bCs/>
          <w:u w:val="single"/>
          <w:lang w:val="en-GB"/>
        </w:rPr>
        <w:t>Species differentially abundant between:</w:t>
      </w:r>
      <w:r w:rsidRPr="00FE65F8">
        <w:rPr>
          <w:lang w:val="en-GB"/>
        </w:rPr>
        <w:t xml:space="preserve"> </w:t>
      </w:r>
      <w:r w:rsidRPr="007B1466">
        <w:rPr>
          <w:b/>
          <w:bCs/>
          <w:lang w:val="en-GB"/>
        </w:rPr>
        <w:t>A)</w:t>
      </w:r>
      <w:r w:rsidRPr="00FE65F8">
        <w:rPr>
          <w:lang w:val="en-GB"/>
        </w:rPr>
        <w:t xml:space="preserve"> healthy patients and patients with periodontitis disease. </w:t>
      </w:r>
      <w:r w:rsidRPr="007B1466">
        <w:rPr>
          <w:b/>
          <w:bCs/>
          <w:lang w:val="en-GB"/>
        </w:rPr>
        <w:t>B)</w:t>
      </w:r>
      <w:r w:rsidRPr="00FE65F8">
        <w:rPr>
          <w:lang w:val="en-GB"/>
        </w:rPr>
        <w:t xml:space="preserve"> oral sites. </w:t>
      </w:r>
      <w:r>
        <w:rPr>
          <w:lang w:val="en-GB"/>
        </w:rPr>
        <w:t>Statistical t</w:t>
      </w:r>
      <w:r w:rsidRPr="00FE65F8">
        <w:rPr>
          <w:lang w:val="en-GB"/>
        </w:rPr>
        <w:t>est</w:t>
      </w:r>
      <w:r>
        <w:rPr>
          <w:lang w:val="en-GB"/>
        </w:rPr>
        <w:t>s</w:t>
      </w:r>
      <w:r w:rsidRPr="00FE65F8">
        <w:rPr>
          <w:lang w:val="en-GB"/>
        </w:rPr>
        <w:t xml:space="preserve"> were </w:t>
      </w:r>
      <w:r>
        <w:rPr>
          <w:lang w:val="en-GB"/>
        </w:rPr>
        <w:t>run</w:t>
      </w:r>
      <w:r w:rsidRPr="00FE65F8">
        <w:rPr>
          <w:lang w:val="en-GB"/>
        </w:rPr>
        <w:t xml:space="preserve"> on all the samples. Sample denotation: Red: periodontitis, dark blue: oral health, light blue: plaque, yellow: tongue and grey: saliva.</w:t>
      </w:r>
      <w:r>
        <w:rPr>
          <w:lang w:val="en-GB"/>
        </w:rPr>
        <w:t xml:space="preserve"> </w:t>
      </w:r>
      <w:r w:rsidRPr="00CA7681">
        <w:rPr>
          <w:rFonts w:cs="Calibri"/>
          <w:lang w:val="en-GB"/>
        </w:rPr>
        <w:t xml:space="preserve">Boxplots display first quartile, median, third quartile and whiskers represent 1.5 times the interquartile range from the first and third quartiles. </w:t>
      </w:r>
      <w:r w:rsidRPr="00FE65F8">
        <w:rPr>
          <w:lang w:val="en-GB"/>
        </w:rPr>
        <w:t>Microbial taxonomy based on metaphlan v3.0.1 - default  – ALDEx2::aldex.kw, denom="iqlr”.</w:t>
      </w:r>
      <w:r>
        <w:rPr>
          <w:lang w:val="en-GB"/>
        </w:rPr>
        <w:t xml:space="preserve"> Only significant results are displayed FDRA adjusted p. value &lt;0.05.</w:t>
      </w:r>
    </w:p>
    <w:p w:rsidR="00CA1087" w:rsidRDefault="00CA1087" w:rsidP="00CA1087">
      <w:pPr>
        <w:rPr>
          <w:lang w:val="en-GB"/>
        </w:rPr>
      </w:pPr>
      <w:r>
        <w:rPr>
          <w:lang w:val="en-GB"/>
        </w:rPr>
        <w:br w:type="page"/>
      </w:r>
    </w:p>
    <w:p w:rsidR="00CA1087" w:rsidRDefault="00CA1087" w:rsidP="00CA1087">
      <w:pPr>
        <w:jc w:val="both"/>
        <w:rPr>
          <w:lang w:val="en-GB"/>
        </w:rPr>
      </w:pPr>
      <w:r w:rsidRPr="00E55A78">
        <w:rPr>
          <w:noProof/>
          <w:lang w:val="en-US"/>
        </w:rPr>
        <w:lastRenderedPageBreak/>
        <w:drawing>
          <wp:inline distT="0" distB="0" distL="0" distR="0" wp14:anchorId="672E8B01" wp14:editId="7F978E42">
            <wp:extent cx="5130800" cy="6235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0800" cy="6235700"/>
                    </a:xfrm>
                    <a:prstGeom prst="rect">
                      <a:avLst/>
                    </a:prstGeom>
                  </pic:spPr>
                </pic:pic>
              </a:graphicData>
            </a:graphic>
          </wp:inline>
        </w:drawing>
      </w:r>
    </w:p>
    <w:p w:rsidR="00CA1087" w:rsidRPr="00C76E1B" w:rsidRDefault="00CA1087" w:rsidP="00CA1087">
      <w:pPr>
        <w:jc w:val="both"/>
        <w:rPr>
          <w:b/>
          <w:bCs/>
          <w:u w:val="single"/>
          <w:lang w:val="en-GB"/>
        </w:rPr>
      </w:pPr>
      <w:r w:rsidRPr="00C76E1B">
        <w:rPr>
          <w:b/>
          <w:bCs/>
          <w:lang w:val="en-GB"/>
        </w:rPr>
        <w:lastRenderedPageBreak/>
        <w:t>Fig. S2</w:t>
      </w:r>
      <w:r w:rsidRPr="00D835A8">
        <w:rPr>
          <w:b/>
          <w:bCs/>
          <w:lang w:val="en-GB"/>
        </w:rPr>
        <w:t>.</w:t>
      </w:r>
      <w:r w:rsidRPr="00C76E1B">
        <w:rPr>
          <w:b/>
          <w:bCs/>
          <w:lang w:val="en-GB"/>
        </w:rPr>
        <w:t xml:space="preserve"> </w:t>
      </w:r>
      <w:r w:rsidRPr="00C76E1B">
        <w:rPr>
          <w:b/>
          <w:bCs/>
          <w:u w:val="single"/>
          <w:lang w:val="en-GB"/>
        </w:rPr>
        <w:t>Pathway-level species metatranscriptomic activity:</w:t>
      </w:r>
    </w:p>
    <w:p w:rsidR="00CA1087" w:rsidRDefault="00CA1087" w:rsidP="00CA1087">
      <w:pPr>
        <w:jc w:val="both"/>
        <w:rPr>
          <w:lang w:val="en-GB"/>
        </w:rPr>
      </w:pPr>
      <w:r w:rsidRPr="00C76E1B">
        <w:rPr>
          <w:b/>
          <w:bCs/>
          <w:lang w:val="en-GB"/>
        </w:rPr>
        <w:t>A)</w:t>
      </w:r>
      <w:r w:rsidRPr="00E55A78">
        <w:rPr>
          <w:lang w:val="en-GB"/>
        </w:rPr>
        <w:t xml:space="preserve"> healthy patients and patients with periodontitis disease - overall, </w:t>
      </w:r>
      <w:r w:rsidRPr="00C76E1B">
        <w:rPr>
          <w:b/>
          <w:bCs/>
          <w:lang w:val="en-GB"/>
        </w:rPr>
        <w:t>B)</w:t>
      </w:r>
      <w:r w:rsidRPr="00E55A78">
        <w:rPr>
          <w:lang w:val="en-GB"/>
        </w:rPr>
        <w:t xml:space="preserve"> healthy patients and patients with periodontitis disease on each site, and </w:t>
      </w:r>
      <w:r w:rsidRPr="00C76E1B">
        <w:rPr>
          <w:b/>
          <w:bCs/>
          <w:lang w:val="en-GB"/>
        </w:rPr>
        <w:t>C)</w:t>
      </w:r>
      <w:r w:rsidRPr="00E55A78">
        <w:rPr>
          <w:lang w:val="en-GB"/>
        </w:rPr>
        <w:t xml:space="preserve"> among the different oral sites in healthy patients and patients with periodontitis disease. Each point represents the pathway transcriptional activity as measured by log10(RNA/DNA). Sample denotation: Red: periodontitis, dark blue: oral health, light blue: plaque, yellow: tongue and grey: saliva.</w:t>
      </w:r>
      <w:r>
        <w:rPr>
          <w:lang w:val="en-GB"/>
        </w:rPr>
        <w:t xml:space="preserve"> </w:t>
      </w:r>
      <w:r w:rsidRPr="00CA7681">
        <w:rPr>
          <w:rFonts w:cs="Calibri"/>
          <w:lang w:val="en-GB"/>
        </w:rPr>
        <w:t xml:space="preserve">Boxplots display first quartile, median, third quartile and whiskers represent 1.5 times the interquartile range from the first and third quartiles. </w:t>
      </w:r>
      <w:r w:rsidRPr="00E55A78">
        <w:rPr>
          <w:lang w:val="en-GB"/>
        </w:rPr>
        <w:t xml:space="preserve">Significant differences were </w:t>
      </w:r>
      <w:r>
        <w:rPr>
          <w:lang w:val="en-GB"/>
        </w:rPr>
        <w:t>determined</w:t>
      </w:r>
      <w:r w:rsidRPr="00E55A78">
        <w:rPr>
          <w:lang w:val="en-GB"/>
        </w:rPr>
        <w:t xml:space="preserve"> using Kruskall-Wallis</w:t>
      </w:r>
      <w:r>
        <w:rPr>
          <w:lang w:val="en-GB"/>
        </w:rPr>
        <w:t xml:space="preserve"> tests</w:t>
      </w:r>
      <w:r w:rsidRPr="00E55A78">
        <w:rPr>
          <w:lang w:val="en-GB"/>
        </w:rPr>
        <w:t>. Significant FDR-adjusted p.values were indicated as followed. * 0.05&lt;p&lt;0.01 ** 0.01 &lt;p&lt;0.001 *** p&lt;0.001.</w:t>
      </w:r>
    </w:p>
    <w:p w:rsidR="00CA1087" w:rsidRDefault="00CA1087" w:rsidP="00CA1087">
      <w:pPr>
        <w:rPr>
          <w:lang w:val="en-GB"/>
        </w:rPr>
      </w:pPr>
      <w:r>
        <w:rPr>
          <w:lang w:val="en-GB"/>
        </w:rPr>
        <w:br w:type="page"/>
      </w:r>
    </w:p>
    <w:p w:rsidR="00CA1087" w:rsidRDefault="00CA1087" w:rsidP="00CA1087">
      <w:pPr>
        <w:jc w:val="both"/>
        <w:rPr>
          <w:lang w:val="en-GB"/>
        </w:rPr>
      </w:pPr>
      <w:r w:rsidRPr="00A2702E">
        <w:rPr>
          <w:noProof/>
          <w:lang w:val="en-US"/>
        </w:rPr>
        <w:lastRenderedPageBreak/>
        <w:drawing>
          <wp:inline distT="0" distB="0" distL="0" distR="0" wp14:anchorId="74398591" wp14:editId="5DC5F4CC">
            <wp:extent cx="6841672" cy="5750610"/>
            <wp:effectExtent l="0" t="0" r="381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52962" cy="5760100"/>
                    </a:xfrm>
                    <a:prstGeom prst="rect">
                      <a:avLst/>
                    </a:prstGeom>
                  </pic:spPr>
                </pic:pic>
              </a:graphicData>
            </a:graphic>
          </wp:inline>
        </w:drawing>
      </w:r>
    </w:p>
    <w:p w:rsidR="00CA1087" w:rsidRPr="00C76E1B" w:rsidRDefault="00CA1087" w:rsidP="00CA1087">
      <w:pPr>
        <w:jc w:val="both"/>
        <w:rPr>
          <w:b/>
          <w:bCs/>
          <w:u w:val="single"/>
          <w:lang w:val="en-GB"/>
        </w:rPr>
      </w:pPr>
      <w:r w:rsidRPr="00C76E1B">
        <w:rPr>
          <w:b/>
          <w:bCs/>
          <w:lang w:val="en-GB"/>
        </w:rPr>
        <w:t>Fi</w:t>
      </w:r>
      <w:r>
        <w:rPr>
          <w:b/>
          <w:bCs/>
          <w:lang w:val="en-GB"/>
        </w:rPr>
        <w:t>g.</w:t>
      </w:r>
      <w:r w:rsidRPr="00C76E1B">
        <w:rPr>
          <w:b/>
          <w:bCs/>
          <w:lang w:val="en-GB"/>
        </w:rPr>
        <w:t xml:space="preserve"> S3</w:t>
      </w:r>
      <w:r>
        <w:rPr>
          <w:b/>
          <w:bCs/>
          <w:lang w:val="en-GB"/>
        </w:rPr>
        <w:t>.</w:t>
      </w:r>
      <w:r w:rsidRPr="00C76E1B">
        <w:rPr>
          <w:b/>
          <w:bCs/>
          <w:lang w:val="en-GB"/>
        </w:rPr>
        <w:t xml:space="preserve"> </w:t>
      </w:r>
      <w:r w:rsidRPr="00C76E1B">
        <w:rPr>
          <w:b/>
          <w:bCs/>
          <w:u w:val="single"/>
          <w:lang w:val="en-GB"/>
        </w:rPr>
        <w:t>Differentially expressed pathways and contributing species in Plaque and Saliva sites:</w:t>
      </w:r>
    </w:p>
    <w:p w:rsidR="00CA1087" w:rsidRPr="00A2702E" w:rsidRDefault="00CA1087" w:rsidP="00CA1087">
      <w:pPr>
        <w:jc w:val="both"/>
        <w:rPr>
          <w:lang w:val="en-GB"/>
        </w:rPr>
      </w:pPr>
      <w:r w:rsidRPr="00A2702E">
        <w:rPr>
          <w:lang w:val="en-GB"/>
        </w:rPr>
        <w:lastRenderedPageBreak/>
        <w:t>Pathways exhibiting significant differential expression between healthy and periodontitis patients as identified using MaAsLin2</w:t>
      </w:r>
      <w:r>
        <w:rPr>
          <w:lang w:val="en-GB"/>
        </w:rPr>
        <w:t xml:space="preserve"> in </w:t>
      </w:r>
      <w:r w:rsidRPr="00C76E1B">
        <w:rPr>
          <w:b/>
          <w:bCs/>
          <w:lang w:val="en-GB"/>
        </w:rPr>
        <w:t>A)</w:t>
      </w:r>
      <w:r>
        <w:rPr>
          <w:lang w:val="en-GB"/>
        </w:rPr>
        <w:t xml:space="preserve"> plaque and </w:t>
      </w:r>
      <w:r w:rsidRPr="00C76E1B">
        <w:rPr>
          <w:b/>
          <w:bCs/>
          <w:lang w:val="en-GB"/>
        </w:rPr>
        <w:t>C)</w:t>
      </w:r>
      <w:r>
        <w:rPr>
          <w:lang w:val="en-GB"/>
        </w:rPr>
        <w:t xml:space="preserve"> saliva site</w:t>
      </w:r>
      <w:r w:rsidRPr="00A2702E">
        <w:rPr>
          <w:lang w:val="en-GB"/>
        </w:rPr>
        <w:t>. Colour indicates heath status (blue: healthy controls vs red: periodontitis group), and shape reflects oral site. Species relative contribution to the differentially expressed pathways (identified in Fig. S3C)</w:t>
      </w:r>
      <w:r>
        <w:rPr>
          <w:lang w:val="en-GB"/>
        </w:rPr>
        <w:t xml:space="preserve"> in </w:t>
      </w:r>
      <w:r w:rsidRPr="0033371A">
        <w:rPr>
          <w:b/>
          <w:bCs/>
          <w:lang w:val="en-GB"/>
        </w:rPr>
        <w:t>B)</w:t>
      </w:r>
      <w:r>
        <w:rPr>
          <w:lang w:val="en-GB"/>
        </w:rPr>
        <w:t xml:space="preserve"> plaque and </w:t>
      </w:r>
      <w:r w:rsidRPr="0033371A">
        <w:rPr>
          <w:b/>
          <w:bCs/>
          <w:lang w:val="en-GB"/>
        </w:rPr>
        <w:t>D)</w:t>
      </w:r>
      <w:r>
        <w:rPr>
          <w:lang w:val="en-GB"/>
        </w:rPr>
        <w:t xml:space="preserve"> saliva</w:t>
      </w:r>
      <w:r w:rsidRPr="00A2702E">
        <w:rPr>
          <w:lang w:val="en-GB"/>
        </w:rPr>
        <w:t>. Species are coloured similarly as in Fig. 3.</w:t>
      </w:r>
      <w:r>
        <w:rPr>
          <w:lang w:val="en-GB"/>
        </w:rPr>
        <w:t xml:space="preserve"> </w:t>
      </w:r>
      <w:r w:rsidRPr="00CA7681">
        <w:rPr>
          <w:rFonts w:cs="Calibri"/>
          <w:lang w:val="en-GB"/>
        </w:rPr>
        <w:t>Boxplots display first quartile, median, third quartile and whiskers represent 1.5 times the interquartile range from the first and third quartiles.</w:t>
      </w:r>
    </w:p>
    <w:p w:rsidR="00CA1087" w:rsidRDefault="00CA1087" w:rsidP="00CA1087">
      <w:pPr>
        <w:rPr>
          <w:lang w:val="en-GB"/>
        </w:rPr>
      </w:pPr>
      <w:r>
        <w:rPr>
          <w:lang w:val="en-GB"/>
        </w:rPr>
        <w:br w:type="page"/>
      </w:r>
    </w:p>
    <w:p w:rsidR="00CA1087" w:rsidRDefault="00CA1087" w:rsidP="00CA1087">
      <w:pPr>
        <w:jc w:val="both"/>
        <w:rPr>
          <w:lang w:val="en-GB"/>
        </w:rPr>
      </w:pPr>
      <w:r w:rsidRPr="000D2474">
        <w:rPr>
          <w:noProof/>
          <w:lang w:val="en-US"/>
        </w:rPr>
        <w:lastRenderedPageBreak/>
        <w:drawing>
          <wp:inline distT="0" distB="0" distL="0" distR="0" wp14:anchorId="0E4D3052" wp14:editId="42437715">
            <wp:extent cx="6070600" cy="4267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0600" cy="4267200"/>
                    </a:xfrm>
                    <a:prstGeom prst="rect">
                      <a:avLst/>
                    </a:prstGeom>
                  </pic:spPr>
                </pic:pic>
              </a:graphicData>
            </a:graphic>
          </wp:inline>
        </w:drawing>
      </w:r>
    </w:p>
    <w:p w:rsidR="00CA1087" w:rsidRPr="002D3719" w:rsidRDefault="00CA1087" w:rsidP="00CA1087">
      <w:pPr>
        <w:jc w:val="both"/>
        <w:rPr>
          <w:lang/>
        </w:rPr>
      </w:pPr>
      <w:r w:rsidRPr="002D3719">
        <w:rPr>
          <w:b/>
          <w:bCs/>
          <w:u w:val="single"/>
          <w:lang w:val="en-GB"/>
        </w:rPr>
        <w:t>Fig S4. Diversity of microbial genes associated with associated with KEGG’s Orthologs :</w:t>
      </w:r>
      <w:r w:rsidRPr="002D3719">
        <w:rPr>
          <w:lang w:val="en-GB"/>
        </w:rPr>
        <w:t xml:space="preserve">  </w:t>
      </w:r>
      <w:r w:rsidRPr="002D3719">
        <w:rPr>
          <w:b/>
          <w:bCs/>
          <w:lang w:val="en-GB"/>
        </w:rPr>
        <w:t xml:space="preserve">A) </w:t>
      </w:r>
      <w:r w:rsidRPr="002D3719">
        <w:rPr>
          <w:lang w:val="en-GB"/>
        </w:rPr>
        <w:t>Alpha-diversity of gene families found in metagenomes (DNA) and metatranscriptomes (RNA) in plaque, tongue biofilm and saliva expressed as number of Observed gene families (i.e., richness), Evenness and Shannon’s diversity index</w:t>
      </w:r>
      <w:r>
        <w:rPr>
          <w:lang w:val="en-GB"/>
        </w:rPr>
        <w:t xml:space="preserve">. </w:t>
      </w:r>
      <w:r w:rsidRPr="00CA7681">
        <w:rPr>
          <w:rFonts w:cs="Calibri"/>
          <w:lang w:val="en-GB"/>
        </w:rPr>
        <w:t>Boxplots display first quartile, median, third quartile and whiskers represent 1.5 times the interquartile range from the first and third quartiles.</w:t>
      </w:r>
      <w:r w:rsidRPr="002D3719">
        <w:rPr>
          <w:lang w:val="en-GB"/>
        </w:rPr>
        <w:t xml:space="preserve"> </w:t>
      </w:r>
      <w:r w:rsidRPr="002D3719">
        <w:rPr>
          <w:b/>
          <w:bCs/>
          <w:lang w:val="en-GB"/>
        </w:rPr>
        <w:t xml:space="preserve">B) </w:t>
      </w:r>
      <w:r w:rsidRPr="002D3719">
        <w:rPr>
          <w:lang w:val="en-GB"/>
        </w:rPr>
        <w:t xml:space="preserve">Beta diversity of gene expression visualized as measured by log RNA/DNA ratio quantified using weighted Jaccard distance and visualized on PCoA. Sample denotation: Red: periodontitis, Blue: oral health, Circle: plaque, Triangle: tongue biofilm, Square: saliva. </w:t>
      </w:r>
      <w:r w:rsidRPr="002D3719">
        <w:rPr>
          <w:lang/>
        </w:rPr>
        <w:t xml:space="preserve">Significant differencies were assessed using Kruskall-Wallis and PERMANOVAS tests for alpha and beta-diversity, respectively. </w:t>
      </w:r>
      <w:r w:rsidRPr="002D3719">
        <w:rPr>
          <w:lang w:val="en-GB"/>
        </w:rPr>
        <w:t>S</w:t>
      </w:r>
      <w:r w:rsidRPr="002D3719">
        <w:rPr>
          <w:lang/>
        </w:rPr>
        <w:t>ignificant FDR-adjusted p.values were indicated as followed : * 0.05&gt;p&gt;0.01 ** 0.01&gt;p&gt;0.001 *** p&lt;0.001.</w:t>
      </w:r>
    </w:p>
    <w:p w:rsidR="00CA1087" w:rsidRDefault="00CA1087" w:rsidP="00CA1087">
      <w:pPr>
        <w:rPr>
          <w:lang/>
        </w:rPr>
      </w:pPr>
      <w:r>
        <w:rPr>
          <w:lang/>
        </w:rPr>
        <w:br w:type="page"/>
      </w:r>
    </w:p>
    <w:p w:rsidR="00CA1087" w:rsidRDefault="00CA1087" w:rsidP="00CA1087">
      <w:pPr>
        <w:jc w:val="both"/>
        <w:rPr>
          <w:lang/>
        </w:rPr>
      </w:pPr>
      <w:r w:rsidRPr="00C77CF9">
        <w:rPr>
          <w:noProof/>
          <w:lang w:val="en-US"/>
        </w:rPr>
        <w:lastRenderedPageBreak/>
        <w:drawing>
          <wp:inline distT="0" distB="0" distL="0" distR="0" wp14:anchorId="313C2A6F" wp14:editId="6C34BAF0">
            <wp:extent cx="3302000" cy="34544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2000" cy="3454400"/>
                    </a:xfrm>
                    <a:prstGeom prst="rect">
                      <a:avLst/>
                    </a:prstGeom>
                  </pic:spPr>
                </pic:pic>
              </a:graphicData>
            </a:graphic>
          </wp:inline>
        </w:drawing>
      </w:r>
    </w:p>
    <w:p w:rsidR="00CA1087" w:rsidRDefault="00CA1087" w:rsidP="00CA1087">
      <w:pPr>
        <w:jc w:val="both"/>
        <w:rPr>
          <w:lang/>
        </w:rPr>
      </w:pPr>
      <w:r w:rsidRPr="00673AA2">
        <w:rPr>
          <w:noProof/>
          <w:lang w:val="en-US"/>
        </w:rPr>
        <w:lastRenderedPageBreak/>
        <w:drawing>
          <wp:inline distT="0" distB="0" distL="0" distR="0" wp14:anchorId="3DF4887E" wp14:editId="692514A0">
            <wp:extent cx="4762500" cy="3429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62500" cy="3429000"/>
                    </a:xfrm>
                    <a:prstGeom prst="rect">
                      <a:avLst/>
                    </a:prstGeom>
                  </pic:spPr>
                </pic:pic>
              </a:graphicData>
            </a:graphic>
          </wp:inline>
        </w:drawing>
      </w:r>
    </w:p>
    <w:p w:rsidR="00CA1087" w:rsidRDefault="00CA1087" w:rsidP="00CA1087">
      <w:pPr>
        <w:jc w:val="both"/>
        <w:rPr>
          <w:lang/>
        </w:rPr>
      </w:pPr>
      <w:r w:rsidRPr="00673AA2">
        <w:rPr>
          <w:noProof/>
          <w:lang w:val="en-US"/>
        </w:rPr>
        <w:drawing>
          <wp:inline distT="0" distB="0" distL="0" distR="0" wp14:anchorId="4E952992" wp14:editId="4B68B203">
            <wp:extent cx="3276600" cy="1143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6600" cy="1143000"/>
                    </a:xfrm>
                    <a:prstGeom prst="rect">
                      <a:avLst/>
                    </a:prstGeom>
                  </pic:spPr>
                </pic:pic>
              </a:graphicData>
            </a:graphic>
          </wp:inline>
        </w:drawing>
      </w:r>
    </w:p>
    <w:p w:rsidR="00CA1087" w:rsidRDefault="00CA1087" w:rsidP="00CA1087">
      <w:pPr>
        <w:jc w:val="both"/>
        <w:rPr>
          <w:lang/>
        </w:rPr>
      </w:pPr>
      <w:r w:rsidRPr="00673AA2">
        <w:rPr>
          <w:noProof/>
          <w:lang w:val="en-US"/>
        </w:rPr>
        <w:drawing>
          <wp:inline distT="0" distB="0" distL="0" distR="0" wp14:anchorId="0A81ED1E" wp14:editId="35724B13">
            <wp:extent cx="3276600" cy="1257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6600" cy="1257300"/>
                    </a:xfrm>
                    <a:prstGeom prst="rect">
                      <a:avLst/>
                    </a:prstGeom>
                  </pic:spPr>
                </pic:pic>
              </a:graphicData>
            </a:graphic>
          </wp:inline>
        </w:drawing>
      </w:r>
    </w:p>
    <w:p w:rsidR="00CA1087" w:rsidRPr="0029787E" w:rsidRDefault="00CA1087" w:rsidP="00CA1087">
      <w:pPr>
        <w:jc w:val="both"/>
        <w:rPr>
          <w:lang w:val="en-US"/>
        </w:rPr>
      </w:pPr>
      <w:r w:rsidRPr="0033371A">
        <w:rPr>
          <w:b/>
          <w:bCs/>
          <w:lang/>
        </w:rPr>
        <w:t>Fig S5</w:t>
      </w:r>
      <w:r w:rsidRPr="0033371A">
        <w:rPr>
          <w:b/>
          <w:bCs/>
          <w:lang w:val="en-US"/>
        </w:rPr>
        <w:t>.</w:t>
      </w:r>
      <w:r w:rsidRPr="0033371A">
        <w:rPr>
          <w:b/>
          <w:bCs/>
          <w:lang/>
        </w:rPr>
        <w:t xml:space="preserve"> </w:t>
      </w:r>
      <w:r w:rsidRPr="0033371A">
        <w:rPr>
          <w:b/>
          <w:bCs/>
          <w:u w:val="single"/>
          <w:lang/>
        </w:rPr>
        <w:t>Genes (mapping KEGG’s orthologs) differentially expressed (RNA/DNA ratio) between healthy patient and patient with periodontal diseases</w:t>
      </w:r>
      <w:r w:rsidRPr="0033371A">
        <w:rPr>
          <w:b/>
          <w:bCs/>
          <w:u w:val="single"/>
          <w:lang w:val="en-US"/>
        </w:rPr>
        <w:t>:</w:t>
      </w:r>
      <w:r w:rsidRPr="00673AA2">
        <w:rPr>
          <w:lang/>
        </w:rPr>
        <w:t xml:space="preserve"> </w:t>
      </w:r>
      <w:r w:rsidRPr="0033371A">
        <w:rPr>
          <w:b/>
          <w:bCs/>
          <w:lang/>
        </w:rPr>
        <w:lastRenderedPageBreak/>
        <w:t>A)</w:t>
      </w:r>
      <w:r w:rsidRPr="00673AA2">
        <w:rPr>
          <w:lang/>
        </w:rPr>
        <w:t xml:space="preserve"> overall, </w:t>
      </w:r>
      <w:r w:rsidRPr="0033371A">
        <w:rPr>
          <w:b/>
          <w:bCs/>
          <w:lang/>
        </w:rPr>
        <w:t>B)</w:t>
      </w:r>
      <w:r w:rsidRPr="00673AA2">
        <w:rPr>
          <w:lang/>
        </w:rPr>
        <w:t xml:space="preserve"> </w:t>
      </w:r>
      <w:r>
        <w:rPr>
          <w:lang w:val="en-US"/>
        </w:rPr>
        <w:t>plaque</w:t>
      </w:r>
      <w:r w:rsidRPr="00673AA2">
        <w:rPr>
          <w:lang/>
        </w:rPr>
        <w:t xml:space="preserve">, </w:t>
      </w:r>
      <w:r w:rsidRPr="0033371A">
        <w:rPr>
          <w:b/>
          <w:bCs/>
          <w:lang/>
        </w:rPr>
        <w:t>C)</w:t>
      </w:r>
      <w:r w:rsidRPr="00673AA2">
        <w:rPr>
          <w:lang/>
        </w:rPr>
        <w:t xml:space="preserve"> saliva and </w:t>
      </w:r>
      <w:r w:rsidRPr="00D42A98">
        <w:rPr>
          <w:b/>
          <w:bCs/>
          <w:lang/>
        </w:rPr>
        <w:t>D)</w:t>
      </w:r>
      <w:r w:rsidRPr="00673AA2">
        <w:rPr>
          <w:lang/>
        </w:rPr>
        <w:t xml:space="preserve"> tongue </w:t>
      </w:r>
      <w:r>
        <w:rPr>
          <w:lang w:val="en-US"/>
        </w:rPr>
        <w:t>site</w:t>
      </w:r>
      <w:r w:rsidRPr="00673AA2">
        <w:rPr>
          <w:lang/>
        </w:rPr>
        <w:t>.</w:t>
      </w:r>
      <w:r>
        <w:rPr>
          <w:lang w:val="en-US"/>
        </w:rPr>
        <w:t xml:space="preserve"> </w:t>
      </w:r>
      <w:r w:rsidRPr="00CA7681">
        <w:rPr>
          <w:rFonts w:cs="Calibri"/>
          <w:lang w:val="en-GB"/>
        </w:rPr>
        <w:t>Boxplots display first quartile, median, third quartile and whiskers represent 1.5 times the interquartile range from the first and third quartiles.</w:t>
      </w:r>
    </w:p>
    <w:p w:rsidR="00CA1087" w:rsidRPr="00975996" w:rsidRDefault="00CA1087" w:rsidP="00CA1087">
      <w:pPr>
        <w:pStyle w:val="Standard"/>
        <w:jc w:val="both"/>
        <w:rPr>
          <w:lang w:val="en-US"/>
        </w:rPr>
      </w:pPr>
    </w:p>
    <w:p w:rsidR="00F4526F" w:rsidRDefault="00F4526F">
      <w:bookmarkStart w:id="0" w:name="_GoBack"/>
      <w:bookmarkEnd w:id="0"/>
    </w:p>
    <w:sectPr w:rsidR="00F4526F" w:rsidSect="00FD73D0">
      <w:footerReference w:type="default" r:id="rId13"/>
      <w:pgSz w:w="16838" w:h="11906" w:orient="landscape"/>
      <w:pgMar w:top="1134" w:right="1701" w:bottom="1134" w:left="1701" w:header="720" w:footer="708" w:gutter="0"/>
      <w:lnNumType w:countBy="1" w:distance="283" w:restart="continuous"/>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
    <w:altName w:val="Calibri"/>
    <w:charset w:val="00"/>
    <w:family w:val="auto"/>
    <w:pitch w:val="variable"/>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DDA" w:rsidRDefault="00CA1087">
    <w:pPr>
      <w:pStyle w:val="Footer"/>
      <w:jc w:val="right"/>
    </w:pPr>
    <w:r>
      <w:fldChar w:fldCharType="begin"/>
    </w:r>
    <w:r>
      <w:instrText xml:space="preserve"> PAGE </w:instrText>
    </w:r>
    <w:r>
      <w:fldChar w:fldCharType="separate"/>
    </w:r>
    <w:r>
      <w:rPr>
        <w:noProof/>
      </w:rPr>
      <w:t>10</w:t>
    </w:r>
    <w:r>
      <w:fldChar w:fldCharType="end"/>
    </w:r>
  </w:p>
  <w:p w:rsidR="00F91DDA" w:rsidRDefault="00CA1087">
    <w:pPr>
      <w:pStyle w:val="Foo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087"/>
    <w:rsid w:val="003A0A23"/>
    <w:rsid w:val="00CA1087"/>
    <w:rsid w:val="00F452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31B22D-6897-43A1-9FE2-D718E216A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087"/>
    <w:pPr>
      <w:widowControl w:val="0"/>
      <w:suppressAutoHyphens/>
      <w:autoSpaceDN w:val="0"/>
      <w:spacing w:after="0" w:line="240" w:lineRule="auto"/>
      <w:textAlignment w:val="baseline"/>
    </w:pPr>
    <w:rPr>
      <w:rFonts w:ascii="Calibri" w:eastAsia="Calibri" w:hAnsi="Calibri" w:cs="F"/>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CA1087"/>
    <w:pPr>
      <w:suppressAutoHyphens/>
      <w:autoSpaceDN w:val="0"/>
      <w:spacing w:after="200" w:line="276" w:lineRule="auto"/>
      <w:textAlignment w:val="baseline"/>
    </w:pPr>
    <w:rPr>
      <w:rFonts w:ascii="Calibri" w:eastAsia="Calibri" w:hAnsi="Calibri" w:cs="F"/>
      <w:lang w:val="da-DK"/>
    </w:rPr>
  </w:style>
  <w:style w:type="paragraph" w:styleId="Footer">
    <w:name w:val="footer"/>
    <w:basedOn w:val="Standard"/>
    <w:link w:val="FooterChar"/>
    <w:rsid w:val="00CA1087"/>
    <w:pPr>
      <w:suppressLineNumbers/>
      <w:tabs>
        <w:tab w:val="center" w:pos="4819"/>
        <w:tab w:val="right" w:pos="9638"/>
      </w:tabs>
      <w:spacing w:after="0" w:line="240" w:lineRule="auto"/>
    </w:pPr>
  </w:style>
  <w:style w:type="character" w:customStyle="1" w:styleId="FooterChar">
    <w:name w:val="Footer Char"/>
    <w:basedOn w:val="DefaultParagraphFont"/>
    <w:link w:val="Footer"/>
    <w:rsid w:val="00CA1087"/>
    <w:rPr>
      <w:rFonts w:ascii="Calibri" w:eastAsia="Calibri" w:hAnsi="Calibri" w:cs="F"/>
      <w:lang w:val="da-DK"/>
    </w:rPr>
  </w:style>
  <w:style w:type="character" w:styleId="LineNumber">
    <w:name w:val="line number"/>
    <w:basedOn w:val="DefaultParagraphFont"/>
    <w:uiPriority w:val="99"/>
    <w:semiHidden/>
    <w:unhideWhenUsed/>
    <w:rsid w:val="00CA1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520</Words>
  <Characters>2965</Characters>
  <Application>Microsoft Office Word</Application>
  <DocSecurity>0</DocSecurity>
  <Lines>24</Lines>
  <Paragraphs>6</Paragraphs>
  <ScaleCrop>false</ScaleCrop>
  <Company>Springer Nature</Company>
  <LinksUpToDate>false</LinksUpToDate>
  <CharactersWithSpaces>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2020-11-16T14:42:00Z</dcterms:created>
  <dcterms:modified xsi:type="dcterms:W3CDTF">2020-11-16T14:43:00Z</dcterms:modified>
</cp:coreProperties>
</file>