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5E" w:rsidRPr="008900BA" w:rsidRDefault="00ED435E" w:rsidP="00ED435E">
      <w:pPr>
        <w:spacing w:line="360" w:lineRule="auto"/>
        <w:rPr>
          <w:rFonts w:ascii="Times New Roman" w:hAnsi="Times New Roman" w:cs="Times New Roman"/>
          <w:b/>
          <w:bCs/>
          <w:sz w:val="20"/>
          <w:szCs w:val="20"/>
        </w:rPr>
      </w:pPr>
      <w:r w:rsidRPr="008900BA">
        <w:rPr>
          <w:rFonts w:ascii="Times New Roman" w:hAnsi="Times New Roman" w:cs="Times New Roman"/>
          <w:b/>
          <w:bCs/>
          <w:vanish/>
          <w:sz w:val="20"/>
          <w:szCs w:val="20"/>
        </w:rPr>
        <w:t xml:space="preserve">Table 2: </w:t>
      </w:r>
      <w:r w:rsidRPr="008900BA">
        <w:rPr>
          <w:rFonts w:ascii="Times New Roman" w:hAnsi="Times New Roman" w:cs="Times New Roman"/>
          <w:b/>
          <w:bCs/>
          <w:sz w:val="20"/>
          <w:szCs w:val="20"/>
        </w:rPr>
        <w:t xml:space="preserve">Application of </w:t>
      </w:r>
      <w:r>
        <w:rPr>
          <w:rFonts w:ascii="Times New Roman" w:hAnsi="Times New Roman" w:cs="Times New Roman"/>
          <w:b/>
          <w:bCs/>
        </w:rPr>
        <w:t xml:space="preserve">the </w:t>
      </w:r>
      <w:r w:rsidRPr="005813DE">
        <w:rPr>
          <w:rFonts w:ascii="Times New Roman" w:hAnsi="Times New Roman" w:cs="Times New Roman"/>
          <w:b/>
          <w:bCs/>
        </w:rPr>
        <w:t>PG-PHASE Framework</w:t>
      </w:r>
      <w:r w:rsidRPr="005813DE" w:rsidDel="005813DE">
        <w:rPr>
          <w:rFonts w:ascii="Times New Roman" w:hAnsi="Times New Roman" w:cs="Times New Roman"/>
          <w:b/>
          <w:bCs/>
        </w:rPr>
        <w:t xml:space="preserve"> </w:t>
      </w:r>
      <w:r w:rsidRPr="008900BA">
        <w:rPr>
          <w:rFonts w:ascii="Times New Roman" w:hAnsi="Times New Roman" w:cs="Times New Roman"/>
          <w:b/>
          <w:bCs/>
          <w:sz w:val="20"/>
          <w:szCs w:val="20"/>
        </w:rPr>
        <w:t xml:space="preserve">against </w:t>
      </w:r>
      <w:r>
        <w:rPr>
          <w:rFonts w:ascii="Times New Roman" w:hAnsi="Times New Roman" w:cs="Times New Roman"/>
          <w:b/>
          <w:bCs/>
          <w:sz w:val="20"/>
          <w:szCs w:val="20"/>
        </w:rPr>
        <w:t xml:space="preserve">three </w:t>
      </w:r>
      <w:r w:rsidRPr="008900BA">
        <w:rPr>
          <w:rFonts w:ascii="Times New Roman" w:hAnsi="Times New Roman" w:cs="Times New Roman"/>
          <w:b/>
          <w:bCs/>
          <w:sz w:val="20"/>
          <w:szCs w:val="20"/>
        </w:rPr>
        <w:t>case studies</w:t>
      </w:r>
      <w:bookmarkStart w:id="0" w:name="_GoBack"/>
      <w:bookmarkEnd w:id="0"/>
    </w:p>
    <w:tbl>
      <w:tblPr>
        <w:tblStyle w:val="TableGrid"/>
        <w:tblW w:w="9334" w:type="dxa"/>
        <w:tblInd w:w="-365" w:type="dxa"/>
        <w:tblLook w:val="04A0" w:firstRow="1" w:lastRow="0" w:firstColumn="1" w:lastColumn="0" w:noHBand="0" w:noVBand="1"/>
      </w:tblPr>
      <w:tblGrid>
        <w:gridCol w:w="1710"/>
        <w:gridCol w:w="2430"/>
        <w:gridCol w:w="2520"/>
        <w:gridCol w:w="2656"/>
        <w:gridCol w:w="18"/>
      </w:tblGrid>
      <w:tr w:rsidR="00ED435E" w:rsidRPr="008900BA" w:rsidTr="00534B55">
        <w:trPr>
          <w:trHeight w:val="236"/>
        </w:trPr>
        <w:tc>
          <w:tcPr>
            <w:tcW w:w="1710" w:type="dxa"/>
            <w:vMerge w:val="restart"/>
          </w:tcPr>
          <w:p w:rsidR="00ED435E" w:rsidRPr="008900BA" w:rsidRDefault="00ED435E" w:rsidP="00534B55">
            <w:pPr>
              <w:rPr>
                <w:rFonts w:ascii="Times New Roman" w:hAnsi="Times New Roman" w:cs="Times New Roman"/>
                <w:sz w:val="20"/>
                <w:szCs w:val="20"/>
              </w:rPr>
            </w:pPr>
          </w:p>
        </w:tc>
        <w:tc>
          <w:tcPr>
            <w:tcW w:w="7624" w:type="dxa"/>
            <w:gridSpan w:val="4"/>
          </w:tcPr>
          <w:p w:rsidR="00ED435E" w:rsidRPr="008900BA" w:rsidRDefault="00ED435E" w:rsidP="00534B55">
            <w:pPr>
              <w:jc w:val="center"/>
              <w:rPr>
                <w:rFonts w:ascii="Times New Roman" w:hAnsi="Times New Roman" w:cs="Times New Roman"/>
                <w:b/>
                <w:bCs/>
                <w:sz w:val="20"/>
                <w:szCs w:val="20"/>
              </w:rPr>
            </w:pPr>
            <w:r w:rsidRPr="008900BA">
              <w:rPr>
                <w:rFonts w:ascii="Times New Roman" w:hAnsi="Times New Roman" w:cs="Times New Roman"/>
                <w:b/>
                <w:bCs/>
                <w:sz w:val="20"/>
                <w:szCs w:val="20"/>
              </w:rPr>
              <w:t>Evaluation design and data collection methods</w:t>
            </w:r>
          </w:p>
        </w:tc>
      </w:tr>
      <w:tr w:rsidR="00ED435E" w:rsidRPr="008900BA" w:rsidTr="00534B55">
        <w:trPr>
          <w:gridAfter w:val="1"/>
          <w:wAfter w:w="18" w:type="dxa"/>
          <w:trHeight w:val="495"/>
        </w:trPr>
        <w:tc>
          <w:tcPr>
            <w:tcW w:w="1710" w:type="dxa"/>
            <w:vMerge/>
          </w:tcPr>
          <w:p w:rsidR="00ED435E" w:rsidRPr="008900BA" w:rsidRDefault="00ED435E" w:rsidP="00534B55">
            <w:pPr>
              <w:rPr>
                <w:rFonts w:ascii="Times New Roman" w:hAnsi="Times New Roman" w:cs="Times New Roman"/>
                <w:sz w:val="20"/>
                <w:szCs w:val="20"/>
              </w:rPr>
            </w:pPr>
          </w:p>
        </w:tc>
        <w:tc>
          <w:tcPr>
            <w:tcW w:w="2430" w:type="dxa"/>
          </w:tcPr>
          <w:p w:rsidR="00ED435E" w:rsidRPr="008900BA" w:rsidRDefault="00ED435E" w:rsidP="00534B55">
            <w:pPr>
              <w:rPr>
                <w:rFonts w:ascii="Times New Roman" w:hAnsi="Times New Roman" w:cs="Times New Roman"/>
                <w:b/>
                <w:bCs/>
                <w:sz w:val="20"/>
                <w:szCs w:val="20"/>
              </w:rPr>
            </w:pPr>
            <w:r w:rsidRPr="008900BA">
              <w:rPr>
                <w:rFonts w:ascii="Times New Roman" w:hAnsi="Times New Roman" w:cs="Times New Roman"/>
                <w:b/>
                <w:bCs/>
                <w:sz w:val="20"/>
                <w:szCs w:val="20"/>
              </w:rPr>
              <w:t xml:space="preserve">Case study 1: </w:t>
            </w:r>
            <w:r w:rsidRPr="008900BA">
              <w:rPr>
                <w:rFonts w:ascii="Times New Roman" w:hAnsi="Times New Roman" w:cs="Times New Roman"/>
                <w:b/>
                <w:bCs/>
                <w:i/>
                <w:iCs/>
                <w:sz w:val="20"/>
                <w:szCs w:val="20"/>
              </w:rPr>
              <w:t>Listeria monocytogenes</w:t>
            </w:r>
          </w:p>
        </w:tc>
        <w:tc>
          <w:tcPr>
            <w:tcW w:w="2520" w:type="dxa"/>
          </w:tcPr>
          <w:p w:rsidR="00ED435E" w:rsidRPr="008900BA" w:rsidRDefault="00ED435E" w:rsidP="00534B55">
            <w:pPr>
              <w:rPr>
                <w:rFonts w:ascii="Times New Roman" w:hAnsi="Times New Roman" w:cs="Times New Roman"/>
                <w:b/>
                <w:bCs/>
                <w:sz w:val="20"/>
                <w:szCs w:val="20"/>
              </w:rPr>
            </w:pPr>
            <w:r w:rsidRPr="008900BA">
              <w:rPr>
                <w:rFonts w:ascii="Times New Roman" w:hAnsi="Times New Roman" w:cs="Times New Roman"/>
                <w:b/>
                <w:bCs/>
                <w:sz w:val="20"/>
                <w:szCs w:val="20"/>
              </w:rPr>
              <w:t xml:space="preserve">Case study 2: </w:t>
            </w:r>
            <w:r w:rsidRPr="008900BA">
              <w:rPr>
                <w:rFonts w:ascii="Times New Roman" w:hAnsi="Times New Roman" w:cs="Times New Roman"/>
                <w:b/>
                <w:bCs/>
                <w:i/>
                <w:iCs/>
                <w:sz w:val="20"/>
                <w:szCs w:val="20"/>
              </w:rPr>
              <w:t>Mycobacterium tuberculosis</w:t>
            </w:r>
          </w:p>
        </w:tc>
        <w:tc>
          <w:tcPr>
            <w:tcW w:w="2656" w:type="dxa"/>
          </w:tcPr>
          <w:p w:rsidR="00ED435E" w:rsidRPr="008900BA" w:rsidRDefault="00ED435E" w:rsidP="00534B55">
            <w:pPr>
              <w:rPr>
                <w:rFonts w:ascii="Times New Roman" w:hAnsi="Times New Roman" w:cs="Times New Roman"/>
                <w:b/>
                <w:bCs/>
                <w:sz w:val="20"/>
                <w:szCs w:val="20"/>
              </w:rPr>
            </w:pPr>
            <w:r w:rsidRPr="008900BA">
              <w:rPr>
                <w:rFonts w:ascii="Times New Roman" w:hAnsi="Times New Roman" w:cs="Times New Roman"/>
                <w:b/>
                <w:bCs/>
                <w:sz w:val="20"/>
                <w:szCs w:val="20"/>
              </w:rPr>
              <w:t>Case study 3: SARS-CoV-2</w:t>
            </w:r>
          </w:p>
        </w:tc>
      </w:tr>
      <w:tr w:rsidR="00ED435E" w:rsidRPr="008900BA" w:rsidTr="00534B55">
        <w:trPr>
          <w:trHeight w:val="796"/>
        </w:trPr>
        <w:tc>
          <w:tcPr>
            <w:tcW w:w="1710" w:type="dxa"/>
          </w:tcPr>
          <w:p w:rsidR="00ED435E" w:rsidRPr="00D214F2" w:rsidRDefault="00ED435E" w:rsidP="00534B55">
            <w:pPr>
              <w:rPr>
                <w:rFonts w:ascii="Times New Roman" w:hAnsi="Times New Roman" w:cs="Times New Roman"/>
                <w:b/>
                <w:bCs/>
                <w:sz w:val="20"/>
                <w:szCs w:val="20"/>
              </w:rPr>
            </w:pPr>
            <w:r w:rsidRPr="00D214F2">
              <w:rPr>
                <w:rFonts w:ascii="Times New Roman" w:hAnsi="Times New Roman" w:cs="Times New Roman"/>
                <w:b/>
                <w:bCs/>
                <w:sz w:val="20"/>
                <w:szCs w:val="20"/>
              </w:rPr>
              <w:t>Phase 1</w:t>
            </w:r>
          </w:p>
        </w:tc>
        <w:tc>
          <w:tcPr>
            <w:tcW w:w="7624" w:type="dxa"/>
            <w:gridSpan w:val="4"/>
            <w:vAlign w:val="center"/>
          </w:tcPr>
          <w:p w:rsidR="00ED435E" w:rsidRPr="008900BA" w:rsidRDefault="00ED435E" w:rsidP="00ED435E">
            <w:pPr>
              <w:pStyle w:val="ListParagraph"/>
              <w:numPr>
                <w:ilvl w:val="0"/>
                <w:numId w:val="12"/>
              </w:numPr>
              <w:rPr>
                <w:rFonts w:ascii="Times New Roman" w:hAnsi="Times New Roman" w:cs="Times New Roman"/>
                <w:sz w:val="20"/>
                <w:szCs w:val="20"/>
              </w:rPr>
            </w:pPr>
            <w:r w:rsidRPr="008900BA">
              <w:rPr>
                <w:rFonts w:ascii="Times New Roman" w:hAnsi="Times New Roman" w:cs="Times New Roman"/>
                <w:sz w:val="20"/>
                <w:szCs w:val="20"/>
              </w:rPr>
              <w:t xml:space="preserve">Routinely operational laboratory data </w:t>
            </w:r>
          </w:p>
          <w:p w:rsidR="00ED435E" w:rsidRPr="008900BA" w:rsidRDefault="00ED435E" w:rsidP="00ED435E">
            <w:pPr>
              <w:pStyle w:val="ListParagraph"/>
              <w:numPr>
                <w:ilvl w:val="0"/>
                <w:numId w:val="12"/>
              </w:numPr>
              <w:rPr>
                <w:rFonts w:ascii="Times New Roman" w:hAnsi="Times New Roman" w:cs="Times New Roman"/>
                <w:sz w:val="20"/>
                <w:szCs w:val="20"/>
              </w:rPr>
            </w:pPr>
            <w:r w:rsidRPr="008900BA">
              <w:rPr>
                <w:rFonts w:ascii="Times New Roman" w:hAnsi="Times New Roman" w:cs="Times New Roman"/>
                <w:sz w:val="20"/>
                <w:szCs w:val="20"/>
              </w:rPr>
              <w:t>Interviews with laboratory personnel</w:t>
            </w:r>
          </w:p>
          <w:p w:rsidR="00ED435E" w:rsidRPr="008900BA" w:rsidRDefault="00ED435E" w:rsidP="00ED435E">
            <w:pPr>
              <w:pStyle w:val="ListParagraph"/>
              <w:numPr>
                <w:ilvl w:val="0"/>
                <w:numId w:val="12"/>
              </w:numPr>
              <w:rPr>
                <w:rFonts w:ascii="Times New Roman" w:hAnsi="Times New Roman" w:cs="Times New Roman"/>
                <w:sz w:val="20"/>
                <w:szCs w:val="20"/>
              </w:rPr>
            </w:pPr>
            <w:r w:rsidRPr="008900BA">
              <w:rPr>
                <w:rFonts w:ascii="Times New Roman" w:hAnsi="Times New Roman" w:cs="Times New Roman"/>
                <w:sz w:val="20"/>
                <w:szCs w:val="20"/>
              </w:rPr>
              <w:t>Interviews with end users</w:t>
            </w:r>
          </w:p>
        </w:tc>
      </w:tr>
      <w:tr w:rsidR="00ED435E" w:rsidRPr="008900BA" w:rsidTr="00534B55">
        <w:trPr>
          <w:trHeight w:val="1033"/>
        </w:trPr>
        <w:tc>
          <w:tcPr>
            <w:tcW w:w="1710" w:type="dxa"/>
          </w:tcPr>
          <w:p w:rsidR="00ED435E" w:rsidRPr="00D214F2" w:rsidRDefault="00ED435E" w:rsidP="00534B55">
            <w:pPr>
              <w:rPr>
                <w:rFonts w:ascii="Times New Roman" w:hAnsi="Times New Roman" w:cs="Times New Roman"/>
                <w:b/>
                <w:bCs/>
                <w:sz w:val="20"/>
                <w:szCs w:val="20"/>
              </w:rPr>
            </w:pPr>
            <w:r w:rsidRPr="00D214F2">
              <w:rPr>
                <w:rFonts w:ascii="Times New Roman" w:hAnsi="Times New Roman" w:cs="Times New Roman"/>
                <w:b/>
                <w:bCs/>
                <w:sz w:val="20"/>
                <w:szCs w:val="20"/>
              </w:rPr>
              <w:t>Phase 2</w:t>
            </w:r>
          </w:p>
        </w:tc>
        <w:tc>
          <w:tcPr>
            <w:tcW w:w="7624" w:type="dxa"/>
            <w:gridSpan w:val="4"/>
            <w:vAlign w:val="center"/>
          </w:tcPr>
          <w:p w:rsidR="00ED435E" w:rsidRPr="008900BA" w:rsidRDefault="00ED435E" w:rsidP="00ED435E">
            <w:pPr>
              <w:pStyle w:val="ListParagraph"/>
              <w:numPr>
                <w:ilvl w:val="0"/>
                <w:numId w:val="13"/>
              </w:numPr>
              <w:rPr>
                <w:rFonts w:ascii="Times New Roman" w:hAnsi="Times New Roman" w:cs="Times New Roman"/>
                <w:sz w:val="20"/>
                <w:szCs w:val="20"/>
              </w:rPr>
            </w:pPr>
            <w:r w:rsidRPr="008900BA">
              <w:rPr>
                <w:rFonts w:ascii="Times New Roman" w:hAnsi="Times New Roman" w:cs="Times New Roman"/>
                <w:sz w:val="20"/>
                <w:szCs w:val="20"/>
              </w:rPr>
              <w:t>Interviews with bioinformaticians</w:t>
            </w:r>
          </w:p>
          <w:p w:rsidR="00ED435E" w:rsidRPr="008900BA" w:rsidRDefault="00ED435E" w:rsidP="00ED435E">
            <w:pPr>
              <w:pStyle w:val="ListParagraph"/>
              <w:numPr>
                <w:ilvl w:val="0"/>
                <w:numId w:val="13"/>
              </w:numPr>
              <w:rPr>
                <w:rFonts w:ascii="Times New Roman" w:hAnsi="Times New Roman" w:cs="Times New Roman"/>
                <w:sz w:val="20"/>
                <w:szCs w:val="20"/>
              </w:rPr>
            </w:pPr>
            <w:r w:rsidRPr="008900BA">
              <w:rPr>
                <w:rFonts w:ascii="Times New Roman" w:hAnsi="Times New Roman" w:cs="Times New Roman"/>
                <w:sz w:val="20"/>
                <w:szCs w:val="20"/>
              </w:rPr>
              <w:t>Interviews with genomic epidemiologists</w:t>
            </w:r>
          </w:p>
          <w:p w:rsidR="00ED435E" w:rsidRPr="008900BA" w:rsidRDefault="00ED435E" w:rsidP="00ED435E">
            <w:pPr>
              <w:pStyle w:val="ListParagraph"/>
              <w:numPr>
                <w:ilvl w:val="0"/>
                <w:numId w:val="13"/>
              </w:numPr>
              <w:rPr>
                <w:rFonts w:ascii="Times New Roman" w:hAnsi="Times New Roman" w:cs="Times New Roman"/>
                <w:sz w:val="20"/>
                <w:szCs w:val="20"/>
              </w:rPr>
            </w:pPr>
            <w:r w:rsidRPr="008900BA">
              <w:rPr>
                <w:rFonts w:ascii="Times New Roman" w:hAnsi="Times New Roman" w:cs="Times New Roman"/>
                <w:sz w:val="20"/>
                <w:szCs w:val="20"/>
              </w:rPr>
              <w:t>Interviews with end users</w:t>
            </w:r>
          </w:p>
          <w:p w:rsidR="00ED435E" w:rsidRPr="008900BA" w:rsidRDefault="00ED435E" w:rsidP="00ED435E">
            <w:pPr>
              <w:pStyle w:val="ListParagraph"/>
              <w:numPr>
                <w:ilvl w:val="0"/>
                <w:numId w:val="13"/>
              </w:numPr>
              <w:rPr>
                <w:rFonts w:ascii="Times New Roman" w:hAnsi="Times New Roman" w:cs="Times New Roman"/>
                <w:sz w:val="20"/>
                <w:szCs w:val="20"/>
              </w:rPr>
            </w:pPr>
            <w:r w:rsidRPr="008900BA">
              <w:rPr>
                <w:rFonts w:ascii="Times New Roman" w:hAnsi="Times New Roman" w:cs="Times New Roman"/>
                <w:sz w:val="20"/>
                <w:szCs w:val="20"/>
              </w:rPr>
              <w:t>Developed reports</w:t>
            </w:r>
          </w:p>
        </w:tc>
      </w:tr>
      <w:tr w:rsidR="00ED435E" w:rsidRPr="008900BA" w:rsidTr="00534B55">
        <w:trPr>
          <w:trHeight w:val="775"/>
        </w:trPr>
        <w:tc>
          <w:tcPr>
            <w:tcW w:w="1710" w:type="dxa"/>
          </w:tcPr>
          <w:p w:rsidR="00ED435E" w:rsidRPr="00D214F2" w:rsidRDefault="00ED435E" w:rsidP="00534B55">
            <w:pPr>
              <w:rPr>
                <w:rFonts w:ascii="Times New Roman" w:hAnsi="Times New Roman" w:cs="Times New Roman"/>
                <w:b/>
                <w:bCs/>
                <w:sz w:val="20"/>
                <w:szCs w:val="20"/>
              </w:rPr>
            </w:pPr>
            <w:r w:rsidRPr="00D214F2">
              <w:rPr>
                <w:rFonts w:ascii="Times New Roman" w:hAnsi="Times New Roman" w:cs="Times New Roman"/>
                <w:b/>
                <w:bCs/>
                <w:sz w:val="20"/>
                <w:szCs w:val="20"/>
              </w:rPr>
              <w:t>Phase 3 (Part 1)</w:t>
            </w:r>
          </w:p>
        </w:tc>
        <w:tc>
          <w:tcPr>
            <w:tcW w:w="7624" w:type="dxa"/>
            <w:gridSpan w:val="4"/>
            <w:vAlign w:val="center"/>
          </w:tcPr>
          <w:p w:rsidR="00ED435E" w:rsidRPr="008900BA" w:rsidRDefault="00ED435E" w:rsidP="00ED435E">
            <w:pPr>
              <w:pStyle w:val="ListParagraph"/>
              <w:numPr>
                <w:ilvl w:val="0"/>
                <w:numId w:val="14"/>
              </w:numPr>
              <w:rPr>
                <w:rFonts w:ascii="Times New Roman" w:hAnsi="Times New Roman" w:cs="Times New Roman"/>
                <w:sz w:val="20"/>
                <w:szCs w:val="20"/>
              </w:rPr>
            </w:pPr>
            <w:r w:rsidRPr="008900BA">
              <w:rPr>
                <w:rFonts w:ascii="Times New Roman" w:hAnsi="Times New Roman" w:cs="Times New Roman"/>
                <w:sz w:val="20"/>
                <w:szCs w:val="20"/>
              </w:rPr>
              <w:t>Interviews with end users</w:t>
            </w:r>
          </w:p>
          <w:p w:rsidR="00ED435E" w:rsidRPr="008900BA" w:rsidRDefault="00ED435E" w:rsidP="00ED435E">
            <w:pPr>
              <w:pStyle w:val="ListParagraph"/>
              <w:numPr>
                <w:ilvl w:val="0"/>
                <w:numId w:val="14"/>
              </w:numPr>
              <w:rPr>
                <w:rFonts w:ascii="Times New Roman" w:hAnsi="Times New Roman" w:cs="Times New Roman"/>
                <w:sz w:val="20"/>
                <w:szCs w:val="20"/>
              </w:rPr>
            </w:pPr>
            <w:r w:rsidRPr="008900BA">
              <w:rPr>
                <w:rFonts w:ascii="Times New Roman" w:hAnsi="Times New Roman" w:cs="Times New Roman"/>
                <w:sz w:val="20"/>
                <w:szCs w:val="20"/>
              </w:rPr>
              <w:t>Case studies</w:t>
            </w:r>
          </w:p>
          <w:p w:rsidR="00ED435E" w:rsidRPr="008900BA" w:rsidRDefault="00ED435E" w:rsidP="00ED435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P</w:t>
            </w:r>
            <w:r w:rsidRPr="008900BA">
              <w:rPr>
                <w:rFonts w:ascii="Times New Roman" w:hAnsi="Times New Roman" w:cs="Times New Roman"/>
                <w:sz w:val="20"/>
                <w:szCs w:val="20"/>
              </w:rPr>
              <w:t>ublic health data</w:t>
            </w:r>
          </w:p>
        </w:tc>
      </w:tr>
      <w:tr w:rsidR="00ED435E" w:rsidRPr="008900BA" w:rsidTr="00534B55">
        <w:trPr>
          <w:gridAfter w:val="1"/>
          <w:wAfter w:w="18" w:type="dxa"/>
          <w:trHeight w:val="3488"/>
        </w:trPr>
        <w:tc>
          <w:tcPr>
            <w:tcW w:w="1710" w:type="dxa"/>
            <w:vMerge w:val="restart"/>
          </w:tcPr>
          <w:p w:rsidR="00ED435E" w:rsidRPr="00D214F2" w:rsidRDefault="00ED435E" w:rsidP="00534B55">
            <w:pPr>
              <w:rPr>
                <w:rFonts w:ascii="Times New Roman" w:hAnsi="Times New Roman" w:cs="Times New Roman"/>
                <w:b/>
                <w:bCs/>
                <w:sz w:val="20"/>
                <w:szCs w:val="20"/>
              </w:rPr>
            </w:pPr>
            <w:r w:rsidRPr="00D214F2">
              <w:rPr>
                <w:rFonts w:ascii="Times New Roman" w:hAnsi="Times New Roman" w:cs="Times New Roman"/>
                <w:b/>
                <w:bCs/>
                <w:sz w:val="20"/>
                <w:szCs w:val="20"/>
              </w:rPr>
              <w:t>Phase 3 (Part 2)</w:t>
            </w:r>
          </w:p>
        </w:tc>
        <w:tc>
          <w:tcPr>
            <w:tcW w:w="2430" w:type="dxa"/>
          </w:tcPr>
          <w:p w:rsidR="00ED435E" w:rsidRPr="008900BA" w:rsidRDefault="00ED435E" w:rsidP="00534B55">
            <w:pPr>
              <w:rPr>
                <w:rFonts w:ascii="Times New Roman" w:hAnsi="Times New Roman" w:cs="Times New Roman"/>
                <w:sz w:val="20"/>
                <w:szCs w:val="20"/>
              </w:rPr>
            </w:pPr>
            <w:r w:rsidRPr="008900BA">
              <w:rPr>
                <w:rFonts w:ascii="Times New Roman" w:hAnsi="Times New Roman" w:cs="Times New Roman"/>
                <w:b/>
                <w:bCs/>
                <w:sz w:val="20"/>
                <w:szCs w:val="20"/>
              </w:rPr>
              <w:t>Pre/post design</w:t>
            </w:r>
          </w:p>
          <w:p w:rsidR="00ED435E" w:rsidRPr="008900BA" w:rsidRDefault="00ED435E" w:rsidP="00ED435E">
            <w:pPr>
              <w:pStyle w:val="ListParagraph"/>
              <w:numPr>
                <w:ilvl w:val="0"/>
                <w:numId w:val="16"/>
              </w:numPr>
              <w:rPr>
                <w:rFonts w:ascii="Times New Roman" w:hAnsi="Times New Roman" w:cs="Times New Roman"/>
                <w:sz w:val="20"/>
                <w:szCs w:val="20"/>
              </w:rPr>
            </w:pPr>
            <w:r w:rsidRPr="008900BA">
              <w:rPr>
                <w:rFonts w:ascii="Times New Roman" w:hAnsi="Times New Roman" w:cs="Times New Roman"/>
                <w:sz w:val="20"/>
                <w:szCs w:val="20"/>
              </w:rPr>
              <w:t>Characterisation of clusters prior to and following introduction of WGS</w:t>
            </w:r>
          </w:p>
          <w:p w:rsidR="00ED435E" w:rsidRPr="008900BA" w:rsidRDefault="00ED435E" w:rsidP="00ED435E">
            <w:pPr>
              <w:pStyle w:val="ListParagraph"/>
              <w:numPr>
                <w:ilvl w:val="1"/>
                <w:numId w:val="16"/>
              </w:numPr>
              <w:ind w:left="796"/>
              <w:rPr>
                <w:rFonts w:ascii="Times New Roman" w:hAnsi="Times New Roman" w:cs="Times New Roman"/>
                <w:sz w:val="20"/>
                <w:szCs w:val="20"/>
              </w:rPr>
            </w:pPr>
            <w:r w:rsidRPr="008900BA">
              <w:rPr>
                <w:rFonts w:ascii="Times New Roman" w:hAnsi="Times New Roman" w:cs="Times New Roman"/>
                <w:sz w:val="20"/>
                <w:szCs w:val="20"/>
              </w:rPr>
              <w:t>Number of notifiable cases</w:t>
            </w:r>
          </w:p>
          <w:p w:rsidR="00ED435E" w:rsidRPr="008900BA" w:rsidRDefault="00ED435E" w:rsidP="00ED435E">
            <w:pPr>
              <w:pStyle w:val="ListParagraph"/>
              <w:numPr>
                <w:ilvl w:val="1"/>
                <w:numId w:val="16"/>
              </w:numPr>
              <w:ind w:left="796"/>
              <w:rPr>
                <w:rFonts w:ascii="Times New Roman" w:hAnsi="Times New Roman" w:cs="Times New Roman"/>
                <w:sz w:val="20"/>
                <w:szCs w:val="20"/>
              </w:rPr>
            </w:pPr>
            <w:r w:rsidRPr="008900BA">
              <w:rPr>
                <w:rFonts w:ascii="Times New Roman" w:hAnsi="Times New Roman" w:cs="Times New Roman"/>
                <w:sz w:val="20"/>
                <w:szCs w:val="20"/>
              </w:rPr>
              <w:t>Mortality due to notifiable illnesses</w:t>
            </w:r>
          </w:p>
          <w:p w:rsidR="00ED435E" w:rsidRPr="008900BA" w:rsidRDefault="00ED435E" w:rsidP="00ED435E">
            <w:pPr>
              <w:pStyle w:val="ListParagraph"/>
              <w:numPr>
                <w:ilvl w:val="1"/>
                <w:numId w:val="16"/>
              </w:numPr>
              <w:ind w:left="796"/>
              <w:rPr>
                <w:rFonts w:ascii="Times New Roman" w:hAnsi="Times New Roman" w:cs="Times New Roman"/>
                <w:sz w:val="20"/>
                <w:szCs w:val="20"/>
              </w:rPr>
            </w:pPr>
            <w:r w:rsidRPr="008900BA">
              <w:rPr>
                <w:rFonts w:ascii="Times New Roman" w:hAnsi="Times New Roman" w:cs="Times New Roman"/>
                <w:sz w:val="20"/>
                <w:szCs w:val="20"/>
              </w:rPr>
              <w:t>Size of clusters</w:t>
            </w:r>
          </w:p>
          <w:p w:rsidR="00ED435E" w:rsidRPr="008900BA" w:rsidRDefault="00ED435E" w:rsidP="00ED435E">
            <w:pPr>
              <w:pStyle w:val="ListParagraph"/>
              <w:numPr>
                <w:ilvl w:val="1"/>
                <w:numId w:val="16"/>
              </w:numPr>
              <w:ind w:left="796"/>
              <w:rPr>
                <w:rFonts w:ascii="Times New Roman" w:hAnsi="Times New Roman" w:cs="Times New Roman"/>
                <w:sz w:val="20"/>
                <w:szCs w:val="20"/>
              </w:rPr>
            </w:pPr>
            <w:r w:rsidRPr="008900BA">
              <w:rPr>
                <w:rFonts w:ascii="Times New Roman" w:hAnsi="Times New Roman" w:cs="Times New Roman"/>
                <w:sz w:val="20"/>
                <w:szCs w:val="20"/>
              </w:rPr>
              <w:t>Spread of clusters</w:t>
            </w:r>
          </w:p>
          <w:p w:rsidR="00ED435E" w:rsidRPr="008900BA" w:rsidRDefault="00ED435E" w:rsidP="00ED435E">
            <w:pPr>
              <w:pStyle w:val="ListParagraph"/>
              <w:numPr>
                <w:ilvl w:val="1"/>
                <w:numId w:val="16"/>
              </w:numPr>
              <w:ind w:left="796"/>
              <w:rPr>
                <w:rFonts w:ascii="Times New Roman" w:hAnsi="Times New Roman" w:cs="Times New Roman"/>
                <w:sz w:val="20"/>
                <w:szCs w:val="20"/>
              </w:rPr>
            </w:pPr>
            <w:r w:rsidRPr="008900BA">
              <w:rPr>
                <w:rFonts w:ascii="Times New Roman" w:hAnsi="Times New Roman" w:cs="Times New Roman"/>
                <w:sz w:val="20"/>
                <w:szCs w:val="20"/>
              </w:rPr>
              <w:t>Percent of cases linked to clusters</w:t>
            </w:r>
          </w:p>
          <w:p w:rsidR="00ED435E" w:rsidRPr="008900BA" w:rsidRDefault="00ED435E" w:rsidP="00ED435E">
            <w:pPr>
              <w:pStyle w:val="ListParagraph"/>
              <w:numPr>
                <w:ilvl w:val="0"/>
                <w:numId w:val="16"/>
              </w:numPr>
              <w:rPr>
                <w:rFonts w:ascii="Times New Roman" w:hAnsi="Times New Roman" w:cs="Times New Roman"/>
                <w:sz w:val="20"/>
                <w:szCs w:val="20"/>
              </w:rPr>
            </w:pPr>
            <w:r w:rsidRPr="008900BA">
              <w:rPr>
                <w:rFonts w:ascii="Times New Roman" w:hAnsi="Times New Roman" w:cs="Times New Roman"/>
                <w:sz w:val="20"/>
                <w:szCs w:val="20"/>
              </w:rPr>
              <w:t>Financial loss due to food recalls prior to and following introduction of WGS</w:t>
            </w:r>
          </w:p>
        </w:tc>
        <w:tc>
          <w:tcPr>
            <w:tcW w:w="2520" w:type="dxa"/>
          </w:tcPr>
          <w:p w:rsidR="00ED435E" w:rsidRPr="008900BA" w:rsidRDefault="00ED435E" w:rsidP="00534B55">
            <w:pPr>
              <w:rPr>
                <w:rFonts w:ascii="Times New Roman" w:hAnsi="Times New Roman" w:cs="Times New Roman"/>
                <w:sz w:val="20"/>
                <w:szCs w:val="20"/>
              </w:rPr>
            </w:pPr>
            <w:r w:rsidRPr="008900BA">
              <w:rPr>
                <w:rFonts w:ascii="Times New Roman" w:hAnsi="Times New Roman" w:cs="Times New Roman"/>
                <w:b/>
                <w:bCs/>
                <w:sz w:val="20"/>
                <w:szCs w:val="20"/>
              </w:rPr>
              <w:t>Retrospective analysis</w:t>
            </w:r>
          </w:p>
          <w:p w:rsidR="00ED435E" w:rsidRPr="008900BA" w:rsidRDefault="00ED435E" w:rsidP="00ED435E">
            <w:pPr>
              <w:pStyle w:val="ListParagraph"/>
              <w:numPr>
                <w:ilvl w:val="0"/>
                <w:numId w:val="17"/>
              </w:numPr>
              <w:rPr>
                <w:rFonts w:ascii="Times New Roman" w:hAnsi="Times New Roman" w:cs="Times New Roman"/>
                <w:sz w:val="20"/>
                <w:szCs w:val="20"/>
              </w:rPr>
            </w:pPr>
            <w:r w:rsidRPr="008900BA">
              <w:rPr>
                <w:rFonts w:ascii="Times New Roman" w:hAnsi="Times New Roman" w:cs="Times New Roman"/>
                <w:sz w:val="20"/>
                <w:szCs w:val="20"/>
              </w:rPr>
              <w:t>Application of WGS to historical isolates in combination with epidemiological data to identify preventable transmissions</w:t>
            </w:r>
          </w:p>
          <w:p w:rsidR="00ED435E" w:rsidRPr="008900BA" w:rsidRDefault="00ED435E" w:rsidP="00ED435E">
            <w:pPr>
              <w:pStyle w:val="ListParagraph"/>
              <w:numPr>
                <w:ilvl w:val="1"/>
                <w:numId w:val="17"/>
              </w:numPr>
              <w:ind w:left="787"/>
              <w:rPr>
                <w:rFonts w:ascii="Times New Roman" w:hAnsi="Times New Roman" w:cs="Times New Roman"/>
                <w:sz w:val="20"/>
                <w:szCs w:val="20"/>
              </w:rPr>
            </w:pPr>
            <w:r w:rsidRPr="008900BA">
              <w:rPr>
                <w:rFonts w:ascii="Times New Roman" w:hAnsi="Times New Roman" w:cs="Times New Roman"/>
                <w:sz w:val="20"/>
                <w:szCs w:val="20"/>
              </w:rPr>
              <w:t>Identified transmission chains that could have been interrupted</w:t>
            </w:r>
          </w:p>
          <w:p w:rsidR="00ED435E" w:rsidRPr="008900BA" w:rsidRDefault="00ED435E" w:rsidP="00ED435E">
            <w:pPr>
              <w:pStyle w:val="ListParagraph"/>
              <w:numPr>
                <w:ilvl w:val="1"/>
                <w:numId w:val="17"/>
              </w:numPr>
              <w:ind w:left="787"/>
              <w:rPr>
                <w:rFonts w:ascii="Times New Roman" w:hAnsi="Times New Roman" w:cs="Times New Roman"/>
                <w:sz w:val="20"/>
                <w:szCs w:val="20"/>
              </w:rPr>
            </w:pPr>
            <w:r w:rsidRPr="008900BA">
              <w:rPr>
                <w:rFonts w:ascii="Times New Roman" w:hAnsi="Times New Roman" w:cs="Times New Roman"/>
                <w:sz w:val="20"/>
                <w:szCs w:val="20"/>
              </w:rPr>
              <w:t>Estimated cases that could have been averted</w:t>
            </w:r>
          </w:p>
        </w:tc>
        <w:tc>
          <w:tcPr>
            <w:tcW w:w="2656" w:type="dxa"/>
          </w:tcPr>
          <w:p w:rsidR="00ED435E" w:rsidRPr="008900BA" w:rsidRDefault="00ED435E" w:rsidP="00534B55">
            <w:pPr>
              <w:rPr>
                <w:rFonts w:ascii="Times New Roman" w:hAnsi="Times New Roman" w:cs="Times New Roman"/>
                <w:sz w:val="20"/>
                <w:szCs w:val="20"/>
              </w:rPr>
            </w:pPr>
            <w:r w:rsidRPr="008900BA">
              <w:rPr>
                <w:rFonts w:ascii="Times New Roman" w:hAnsi="Times New Roman" w:cs="Times New Roman"/>
                <w:b/>
                <w:bCs/>
                <w:sz w:val="20"/>
                <w:szCs w:val="20"/>
              </w:rPr>
              <w:t>Mathematical modelling</w:t>
            </w:r>
          </w:p>
          <w:p w:rsidR="00ED435E" w:rsidRPr="008900BA" w:rsidRDefault="00ED435E" w:rsidP="00ED435E">
            <w:pPr>
              <w:pStyle w:val="ListParagraph"/>
              <w:numPr>
                <w:ilvl w:val="0"/>
                <w:numId w:val="17"/>
              </w:numPr>
              <w:rPr>
                <w:rFonts w:ascii="Times New Roman" w:hAnsi="Times New Roman" w:cs="Times New Roman"/>
                <w:sz w:val="20"/>
                <w:szCs w:val="20"/>
              </w:rPr>
            </w:pPr>
            <w:r w:rsidRPr="008900BA">
              <w:rPr>
                <w:rFonts w:ascii="Times New Roman" w:hAnsi="Times New Roman" w:cs="Times New Roman"/>
                <w:sz w:val="20"/>
                <w:szCs w:val="20"/>
              </w:rPr>
              <w:t>Development of mathematical modelling using data from similar contexts where WGS is not being used, in combination with epidemiological data, to estimate impact of public health interventions informed by genomic data</w:t>
            </w:r>
          </w:p>
          <w:p w:rsidR="00ED435E" w:rsidRPr="008900BA" w:rsidRDefault="00ED435E" w:rsidP="00ED435E">
            <w:pPr>
              <w:pStyle w:val="ListParagraph"/>
              <w:numPr>
                <w:ilvl w:val="1"/>
                <w:numId w:val="17"/>
              </w:numPr>
              <w:ind w:left="787"/>
              <w:rPr>
                <w:rFonts w:ascii="Times New Roman" w:hAnsi="Times New Roman" w:cs="Times New Roman"/>
                <w:sz w:val="20"/>
                <w:szCs w:val="20"/>
              </w:rPr>
            </w:pPr>
            <w:r w:rsidRPr="008900BA">
              <w:rPr>
                <w:rFonts w:ascii="Times New Roman" w:hAnsi="Times New Roman" w:cs="Times New Roman"/>
                <w:sz w:val="20"/>
                <w:szCs w:val="20"/>
              </w:rPr>
              <w:t>Estimated cases averted</w:t>
            </w:r>
          </w:p>
          <w:p w:rsidR="00ED435E" w:rsidRPr="008900BA" w:rsidRDefault="00ED435E" w:rsidP="00ED435E">
            <w:pPr>
              <w:pStyle w:val="ListParagraph"/>
              <w:numPr>
                <w:ilvl w:val="1"/>
                <w:numId w:val="17"/>
              </w:numPr>
              <w:ind w:left="787"/>
              <w:rPr>
                <w:rFonts w:ascii="Times New Roman" w:hAnsi="Times New Roman" w:cs="Times New Roman"/>
                <w:sz w:val="20"/>
                <w:szCs w:val="20"/>
              </w:rPr>
            </w:pPr>
            <w:r w:rsidRPr="008900BA">
              <w:rPr>
                <w:rFonts w:ascii="Times New Roman" w:hAnsi="Times New Roman" w:cs="Times New Roman"/>
                <w:sz w:val="20"/>
                <w:szCs w:val="20"/>
              </w:rPr>
              <w:t>Estimated differences in mortality</w:t>
            </w:r>
          </w:p>
        </w:tc>
      </w:tr>
      <w:tr w:rsidR="00ED435E" w:rsidRPr="008900BA" w:rsidTr="00534B55">
        <w:trPr>
          <w:gridAfter w:val="1"/>
          <w:wAfter w:w="18" w:type="dxa"/>
          <w:trHeight w:val="2024"/>
        </w:trPr>
        <w:tc>
          <w:tcPr>
            <w:tcW w:w="1710" w:type="dxa"/>
            <w:vMerge/>
          </w:tcPr>
          <w:p w:rsidR="00ED435E" w:rsidRPr="008900BA" w:rsidRDefault="00ED435E" w:rsidP="00534B55">
            <w:pPr>
              <w:rPr>
                <w:rFonts w:ascii="Times New Roman" w:hAnsi="Times New Roman" w:cs="Times New Roman"/>
                <w:sz w:val="20"/>
                <w:szCs w:val="20"/>
              </w:rPr>
            </w:pPr>
          </w:p>
        </w:tc>
        <w:tc>
          <w:tcPr>
            <w:tcW w:w="2430" w:type="dxa"/>
          </w:tcPr>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Publicly available health care costs due to pathogen</w:t>
            </w:r>
          </w:p>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Routinely collected data on costs of epidemiological investigation</w:t>
            </w:r>
          </w:p>
        </w:tc>
        <w:tc>
          <w:tcPr>
            <w:tcW w:w="2520" w:type="dxa"/>
          </w:tcPr>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Estimated changes to health care costs due to cases averted</w:t>
            </w:r>
          </w:p>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Estimated changes to costs of epidemiological investigation due to cases averted and use of WGS to identify transmission links</w:t>
            </w:r>
          </w:p>
        </w:tc>
        <w:tc>
          <w:tcPr>
            <w:tcW w:w="2656" w:type="dxa"/>
          </w:tcPr>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Estimated changes to health care costs due to cases averted</w:t>
            </w:r>
          </w:p>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Estimated changes to costs of epidemiological investigation due to cases averted and use of WGS to identify transmission links</w:t>
            </w:r>
          </w:p>
          <w:p w:rsidR="00ED435E" w:rsidRPr="008900BA" w:rsidRDefault="00ED435E" w:rsidP="00ED435E">
            <w:pPr>
              <w:pStyle w:val="ListParagraph"/>
              <w:numPr>
                <w:ilvl w:val="0"/>
                <w:numId w:val="15"/>
              </w:numPr>
              <w:rPr>
                <w:rFonts w:ascii="Times New Roman" w:hAnsi="Times New Roman" w:cs="Times New Roman"/>
                <w:b/>
                <w:bCs/>
                <w:sz w:val="20"/>
                <w:szCs w:val="20"/>
              </w:rPr>
            </w:pPr>
            <w:r w:rsidRPr="008900BA">
              <w:rPr>
                <w:rFonts w:ascii="Times New Roman" w:hAnsi="Times New Roman" w:cs="Times New Roman"/>
                <w:sz w:val="20"/>
                <w:szCs w:val="20"/>
              </w:rPr>
              <w:t>Estimated changes to costs of infection control interventions due to cases averted and use of WGS to identify transmission links</w:t>
            </w:r>
          </w:p>
        </w:tc>
      </w:tr>
    </w:tbl>
    <w:p w:rsidR="00ED435E" w:rsidRDefault="00ED435E" w:rsidP="00ED435E">
      <w:pPr>
        <w:pStyle w:val="EndNoteBibliography"/>
        <w:rPr>
          <w:rFonts w:ascii="Times New Roman" w:hAnsi="Times New Roman" w:cs="Times New Roman"/>
          <w:vanish/>
        </w:rPr>
      </w:pPr>
    </w:p>
    <w:p w:rsidR="00ED435E" w:rsidRDefault="00ED435E" w:rsidP="00ED435E">
      <w:pPr>
        <w:rPr>
          <w:rFonts w:ascii="Times New Roman" w:hAnsi="Times New Roman" w:cs="Times New Roman"/>
          <w:noProof/>
          <w:vanish/>
          <w:lang w:val="en-US"/>
        </w:rPr>
      </w:pPr>
      <w:r>
        <w:rPr>
          <w:rFonts w:ascii="Times New Roman" w:hAnsi="Times New Roman" w:cs="Times New Roman"/>
          <w:vanish/>
        </w:rPr>
        <w:br w:type="page"/>
      </w:r>
    </w:p>
    <w:p w:rsidR="00ED435E" w:rsidRDefault="00ED435E" w:rsidP="00ED435E">
      <w:pPr>
        <w:spacing w:line="360" w:lineRule="auto"/>
        <w:rPr>
          <w:rFonts w:ascii="Times New Roman" w:hAnsi="Times New Roman" w:cs="Times New Roman"/>
          <w:b/>
          <w:bCs/>
        </w:rPr>
        <w:sectPr w:rsidR="00ED435E" w:rsidSect="00ED435E">
          <w:pgSz w:w="12240" w:h="15840"/>
          <w:pgMar w:top="1411" w:right="990" w:bottom="1411" w:left="1699" w:header="706" w:footer="706" w:gutter="0"/>
          <w:cols w:space="708"/>
          <w:docGrid w:linePitch="360"/>
        </w:sectPr>
      </w:pPr>
    </w:p>
    <w:p w:rsidR="00ED435E" w:rsidRPr="000B33C3" w:rsidRDefault="00ED435E" w:rsidP="00ED435E">
      <w:pPr>
        <w:spacing w:line="360" w:lineRule="auto"/>
        <w:rPr>
          <w:rFonts w:ascii="Times New Roman" w:hAnsi="Times New Roman" w:cs="Times New Roman"/>
          <w:b/>
          <w:bCs/>
        </w:rPr>
      </w:pPr>
      <w:r>
        <w:rPr>
          <w:rFonts w:ascii="Times New Roman" w:hAnsi="Times New Roman" w:cs="Times New Roman"/>
          <w:b/>
          <w:bCs/>
        </w:rPr>
        <w:lastRenderedPageBreak/>
        <w:t>Supplementary Table 1</w:t>
      </w:r>
      <w:r w:rsidRPr="000B33C3">
        <w:rPr>
          <w:rFonts w:ascii="Times New Roman" w:hAnsi="Times New Roman" w:cs="Times New Roman"/>
          <w:b/>
          <w:bCs/>
        </w:rPr>
        <w:t>. The evaluation framework: Key activities in utilising pathogen WGS in public health and associated outputs, outcomes and indicators</w:t>
      </w:r>
    </w:p>
    <w:tbl>
      <w:tblPr>
        <w:tblStyle w:val="TableGrid"/>
        <w:tblW w:w="13495" w:type="dxa"/>
        <w:tblLook w:val="04A0" w:firstRow="1" w:lastRow="0" w:firstColumn="1" w:lastColumn="0" w:noHBand="0" w:noVBand="1"/>
      </w:tblPr>
      <w:tblGrid>
        <w:gridCol w:w="1659"/>
        <w:gridCol w:w="2959"/>
        <w:gridCol w:w="2959"/>
        <w:gridCol w:w="2959"/>
        <w:gridCol w:w="2959"/>
      </w:tblGrid>
      <w:tr w:rsidR="00ED435E" w:rsidRPr="000B33C3" w:rsidTr="00534B55">
        <w:trPr>
          <w:tblHeader/>
        </w:trPr>
        <w:tc>
          <w:tcPr>
            <w:tcW w:w="1659"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Stage of the evaluation</w:t>
            </w:r>
          </w:p>
        </w:tc>
        <w:tc>
          <w:tcPr>
            <w:tcW w:w="2959"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Key activities (what is done at this stage)</w:t>
            </w:r>
          </w:p>
        </w:tc>
        <w:tc>
          <w:tcPr>
            <w:tcW w:w="2959"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Outputs (what are the results of these activities)</w:t>
            </w:r>
          </w:p>
        </w:tc>
        <w:tc>
          <w:tcPr>
            <w:tcW w:w="2959"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Outcomes (what is achieved)</w:t>
            </w:r>
          </w:p>
        </w:tc>
        <w:tc>
          <w:tcPr>
            <w:tcW w:w="2959"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Indicators (how do we know)</w:t>
            </w:r>
          </w:p>
        </w:tc>
      </w:tr>
      <w:tr w:rsidR="00ED435E" w:rsidRPr="000B33C3" w:rsidTr="00534B55">
        <w:tc>
          <w:tcPr>
            <w:tcW w:w="1659" w:type="dxa"/>
          </w:tcPr>
          <w:p w:rsidR="00ED435E" w:rsidRPr="000B33C3" w:rsidRDefault="00ED435E" w:rsidP="00534B55">
            <w:pPr>
              <w:spacing w:line="360" w:lineRule="auto"/>
              <w:rPr>
                <w:rFonts w:ascii="Times New Roman" w:hAnsi="Times New Roman" w:cs="Times New Roman"/>
              </w:rPr>
            </w:pPr>
            <w:r w:rsidRPr="000B33C3">
              <w:rPr>
                <w:rFonts w:ascii="Times New Roman" w:hAnsi="Times New Roman" w:cs="Times New Roman"/>
              </w:rPr>
              <w:t>Pre-analysis and analysis</w:t>
            </w:r>
          </w:p>
        </w:tc>
        <w:tc>
          <w:tcPr>
            <w:tcW w:w="2959" w:type="dxa"/>
          </w:tcPr>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 xml:space="preserve">Sample </w:t>
            </w:r>
            <w:r>
              <w:rPr>
                <w:rFonts w:ascii="Times New Roman" w:hAnsi="Times New Roman" w:cs="Times New Roman"/>
              </w:rPr>
              <w:t xml:space="preserve">selection, </w:t>
            </w:r>
            <w:r w:rsidRPr="000B33C3">
              <w:rPr>
                <w:rFonts w:ascii="Times New Roman" w:hAnsi="Times New Roman" w:cs="Times New Roman"/>
              </w:rPr>
              <w:t>collection and preparation</w:t>
            </w:r>
          </w:p>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 xml:space="preserve">Laboratory processes to conduct whole genome sequencing </w:t>
            </w:r>
          </w:p>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Production of sequence and typing data</w:t>
            </w:r>
          </w:p>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Quality control of sequence and typing data</w:t>
            </w:r>
          </w:p>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Analysis of sequence data</w:t>
            </w:r>
          </w:p>
        </w:tc>
        <w:tc>
          <w:tcPr>
            <w:tcW w:w="2959" w:type="dxa"/>
          </w:tcPr>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Streamlined laboratory workflow processes</w:t>
            </w:r>
          </w:p>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Isolate sequence data obtained</w:t>
            </w:r>
          </w:p>
          <w:p w:rsidR="00ED435E" w:rsidRPr="000B33C3" w:rsidRDefault="00ED435E" w:rsidP="00ED435E">
            <w:pPr>
              <w:pStyle w:val="ListParagraph"/>
              <w:numPr>
                <w:ilvl w:val="0"/>
                <w:numId w:val="2"/>
              </w:numPr>
              <w:spacing w:line="360" w:lineRule="auto"/>
              <w:rPr>
                <w:rFonts w:ascii="Times New Roman" w:hAnsi="Times New Roman" w:cs="Times New Roman"/>
              </w:rPr>
            </w:pPr>
            <w:r w:rsidRPr="000B33C3">
              <w:rPr>
                <w:rFonts w:ascii="Times New Roman" w:hAnsi="Times New Roman" w:cs="Times New Roman"/>
              </w:rPr>
              <w:t>Basic information on sequence (type, composition and quality)</w:t>
            </w:r>
          </w:p>
        </w:tc>
        <w:tc>
          <w:tcPr>
            <w:tcW w:w="2959" w:type="dxa"/>
          </w:tcPr>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Increased efficiency of workflow processes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Reduction in turnaround times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Reduction in analysis costs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Increased resolution of genotypic data</w:t>
            </w:r>
          </w:p>
        </w:tc>
        <w:tc>
          <w:tcPr>
            <w:tcW w:w="2959" w:type="dxa"/>
          </w:tcPr>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Number of samples processed per week</w:t>
            </w:r>
          </w:p>
          <w:p w:rsidR="00ED435E"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Number of samples analysed per week</w:t>
            </w:r>
          </w:p>
          <w:p w:rsidR="00ED435E" w:rsidRPr="000B33C3" w:rsidRDefault="00ED435E" w:rsidP="00ED435E">
            <w:pPr>
              <w:pStyle w:val="ListParagraph"/>
              <w:numPr>
                <w:ilvl w:val="0"/>
                <w:numId w:val="1"/>
              </w:numPr>
              <w:spacing w:line="360" w:lineRule="auto"/>
              <w:rPr>
                <w:rFonts w:ascii="Times New Roman" w:hAnsi="Times New Roman" w:cs="Times New Roman"/>
              </w:rPr>
            </w:pPr>
            <w:r>
              <w:rPr>
                <w:rFonts w:ascii="Times New Roman" w:hAnsi="Times New Roman" w:cs="Times New Roman"/>
              </w:rPr>
              <w:t>Diversity of samples processed per week</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Sample processing times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 xml:space="preserve">Sample analysis times </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Staff, equipment and reagent costs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Levels of satisfaction with workflow processes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Quality control outcomes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Discriminatory power</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Typeability</w:t>
            </w:r>
          </w:p>
        </w:tc>
      </w:tr>
      <w:tr w:rsidR="00ED435E" w:rsidRPr="000B33C3" w:rsidTr="00534B55">
        <w:tc>
          <w:tcPr>
            <w:tcW w:w="1659" w:type="dxa"/>
          </w:tcPr>
          <w:p w:rsidR="00ED435E" w:rsidRPr="000B33C3" w:rsidRDefault="00ED435E" w:rsidP="00534B55">
            <w:pPr>
              <w:spacing w:line="360" w:lineRule="auto"/>
              <w:rPr>
                <w:rFonts w:ascii="Times New Roman" w:hAnsi="Times New Roman" w:cs="Times New Roman"/>
              </w:rPr>
            </w:pPr>
            <w:r w:rsidRPr="000B33C3">
              <w:rPr>
                <w:rFonts w:ascii="Times New Roman" w:hAnsi="Times New Roman" w:cs="Times New Roman"/>
              </w:rPr>
              <w:t>Reporting and communication</w:t>
            </w:r>
          </w:p>
        </w:tc>
        <w:tc>
          <w:tcPr>
            <w:tcW w:w="2959" w:type="dxa"/>
          </w:tcPr>
          <w:p w:rsidR="00ED435E" w:rsidRPr="000B33C3" w:rsidRDefault="00ED435E" w:rsidP="00ED435E">
            <w:pPr>
              <w:pStyle w:val="ListParagraph"/>
              <w:numPr>
                <w:ilvl w:val="0"/>
                <w:numId w:val="3"/>
              </w:numPr>
              <w:spacing w:line="360" w:lineRule="auto"/>
              <w:rPr>
                <w:rFonts w:ascii="Times New Roman" w:hAnsi="Times New Roman" w:cs="Times New Roman"/>
              </w:rPr>
            </w:pPr>
            <w:r>
              <w:rPr>
                <w:rFonts w:ascii="Times New Roman" w:hAnsi="Times New Roman" w:cs="Times New Roman"/>
              </w:rPr>
              <w:t>Reporting</w:t>
            </w:r>
            <w:r w:rsidRPr="000B33C3">
              <w:rPr>
                <w:rFonts w:ascii="Times New Roman" w:hAnsi="Times New Roman" w:cs="Times New Roman"/>
              </w:rPr>
              <w:t xml:space="preserve"> mechanisms between end users and laboratory established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Establishment of reporting requirements for phylogeny and typing data</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Preparation of routine reports in a timely manner as per established requirements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Preparation of reports on an ad hoc basis in a timely manner as per established requirements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Mechanisms established to facilitate data sharing across jurisdictions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Mechanisms established to facilitate data sharing across sectors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Establishment of appropriate data governance to support data sharing</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Standards are in place to ensure interoperability of </w:t>
            </w:r>
            <w:r w:rsidRPr="000B33C3">
              <w:rPr>
                <w:rFonts w:ascii="Times New Roman" w:hAnsi="Times New Roman" w:cs="Times New Roman"/>
              </w:rPr>
              <w:lastRenderedPageBreak/>
              <w:t>genomic data management systems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Standards are in place to ensure potability of genomic data and data systems</w:t>
            </w:r>
          </w:p>
        </w:tc>
        <w:tc>
          <w:tcPr>
            <w:tcW w:w="2959" w:type="dxa"/>
          </w:tcPr>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Efficient and effective communication between bioinformaticians</w:t>
            </w:r>
            <w:r>
              <w:rPr>
                <w:rFonts w:ascii="Times New Roman" w:hAnsi="Times New Roman" w:cs="Times New Roman"/>
              </w:rPr>
              <w:t>, genomic epidemiologists</w:t>
            </w:r>
            <w:r w:rsidRPr="000B33C3">
              <w:rPr>
                <w:rFonts w:ascii="Times New Roman" w:hAnsi="Times New Roman" w:cs="Times New Roman"/>
              </w:rPr>
              <w:t xml:space="preserve"> and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Routine reports for phylogeny and typing data provided as agreed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Ad hoc reports for phylogeny and typing data provided as agreed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Genomic data routinely shared across jurisdictions to support surveillance, investigation and public health interventions </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Genomic data routinely shared across sectors to support surveillance, investigation and public health interventions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Effective use of and contribution to genomic databases</w:t>
            </w:r>
          </w:p>
        </w:tc>
        <w:tc>
          <w:tcPr>
            <w:tcW w:w="2959" w:type="dxa"/>
          </w:tcPr>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Bioinformaticians</w:t>
            </w:r>
            <w:r>
              <w:rPr>
                <w:rFonts w:ascii="Times New Roman" w:hAnsi="Times New Roman" w:cs="Times New Roman"/>
              </w:rPr>
              <w:t xml:space="preserve"> </w:t>
            </w:r>
            <w:r w:rsidRPr="000B33C3">
              <w:rPr>
                <w:rFonts w:ascii="Times New Roman" w:hAnsi="Times New Roman" w:cs="Times New Roman"/>
              </w:rPr>
              <w:t>have a good understanding of the needs of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Pr>
                <w:rFonts w:ascii="Times New Roman" w:hAnsi="Times New Roman" w:cs="Times New Roman"/>
              </w:rPr>
              <w:lastRenderedPageBreak/>
              <w:t>Genomic epidemiologist</w:t>
            </w:r>
            <w:r w:rsidRPr="000B33C3">
              <w:rPr>
                <w:rFonts w:ascii="Times New Roman" w:hAnsi="Times New Roman" w:cs="Times New Roman"/>
              </w:rPr>
              <w:t>s</w:t>
            </w:r>
            <w:r>
              <w:rPr>
                <w:rFonts w:ascii="Times New Roman" w:hAnsi="Times New Roman" w:cs="Times New Roman"/>
              </w:rPr>
              <w:t xml:space="preserve"> </w:t>
            </w:r>
            <w:r w:rsidRPr="000B33C3">
              <w:rPr>
                <w:rFonts w:ascii="Times New Roman" w:hAnsi="Times New Roman" w:cs="Times New Roman"/>
              </w:rPr>
              <w:t>have a good understanding of the needs of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End users have a good understanding of the possible uses and limitations of sequence data</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Information provided to end users is relevant and responsive to needs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Information provided to end users in understandable and useable form</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Improved capacity to share genomic data across jurisdictions and sectors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Improved capacity to identify and respond to geographically dispersed clusters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Improved capacity to respond to clusters involving humans, animals and environmental strains</w:t>
            </w:r>
          </w:p>
        </w:tc>
        <w:tc>
          <w:tcPr>
            <w:tcW w:w="2959" w:type="dxa"/>
          </w:tcPr>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Agreements in place regarding reporting processes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Agreements in place regarding data sharing and rights to access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Satisfaction with agreements governing data sharing and rights to access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Mechanisms in place to facilitate data</w:t>
            </w:r>
            <w:r>
              <w:rPr>
                <w:rFonts w:ascii="Times New Roman" w:hAnsi="Times New Roman" w:cs="Times New Roman"/>
              </w:rPr>
              <w:t xml:space="preserve"> archiving, tracking, tracing, and</w:t>
            </w:r>
            <w:r w:rsidRPr="000B33C3">
              <w:rPr>
                <w:rFonts w:ascii="Times New Roman" w:hAnsi="Times New Roman" w:cs="Times New Roman"/>
              </w:rPr>
              <w:t xml:space="preserve"> sharing</w:t>
            </w:r>
          </w:p>
          <w:p w:rsidR="00ED435E"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Satisfaction with mechanisms in place to facilitate data</w:t>
            </w:r>
            <w:r>
              <w:rPr>
                <w:rFonts w:ascii="Times New Roman" w:hAnsi="Times New Roman" w:cs="Times New Roman"/>
              </w:rPr>
              <w:t xml:space="preserve"> archiving, tracking, tracing, and</w:t>
            </w:r>
            <w:r w:rsidRPr="000B33C3">
              <w:rPr>
                <w:rFonts w:ascii="Times New Roman" w:hAnsi="Times New Roman" w:cs="Times New Roman"/>
              </w:rPr>
              <w:t xml:space="preserve"> sharing</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Routine reports </w:t>
            </w:r>
            <w:r>
              <w:rPr>
                <w:rFonts w:ascii="Times New Roman" w:hAnsi="Times New Roman" w:cs="Times New Roman"/>
              </w:rPr>
              <w:t xml:space="preserve">requested, </w:t>
            </w:r>
            <w:r w:rsidRPr="000B33C3">
              <w:rPr>
                <w:rFonts w:ascii="Times New Roman" w:hAnsi="Times New Roman" w:cs="Times New Roman"/>
              </w:rPr>
              <w:t>issued</w:t>
            </w:r>
            <w:r>
              <w:rPr>
                <w:rFonts w:ascii="Times New Roman" w:hAnsi="Times New Roman" w:cs="Times New Roman"/>
              </w:rPr>
              <w:t xml:space="preserve"> and received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Ad hoc reports </w:t>
            </w:r>
            <w:r>
              <w:rPr>
                <w:rFonts w:ascii="Times New Roman" w:hAnsi="Times New Roman" w:cs="Times New Roman"/>
              </w:rPr>
              <w:t xml:space="preserve">requested, </w:t>
            </w:r>
            <w:r w:rsidRPr="000B33C3">
              <w:rPr>
                <w:rFonts w:ascii="Times New Roman" w:hAnsi="Times New Roman" w:cs="Times New Roman"/>
              </w:rPr>
              <w:t xml:space="preserve">issued </w:t>
            </w:r>
            <w:r>
              <w:rPr>
                <w:rFonts w:ascii="Times New Roman" w:hAnsi="Times New Roman" w:cs="Times New Roman"/>
              </w:rPr>
              <w:t>and received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Retention of key information by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lastRenderedPageBreak/>
              <w:t>Perceptions of end users regarding their own understanding of the uses and limitations of microbial genomics</w:t>
            </w:r>
          </w:p>
          <w:p w:rsidR="00ED435E"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Perceptions of end users regarding bioinformaticians’ understanding of their needs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Perceptions of end users regarding </w:t>
            </w:r>
            <w:r>
              <w:rPr>
                <w:rFonts w:ascii="Times New Roman" w:hAnsi="Times New Roman" w:cs="Times New Roman"/>
              </w:rPr>
              <w:t>genomic epidemiologists</w:t>
            </w:r>
            <w:r w:rsidRPr="000B33C3">
              <w:rPr>
                <w:rFonts w:ascii="Times New Roman" w:hAnsi="Times New Roman" w:cs="Times New Roman"/>
              </w:rPr>
              <w:t>’ understanding of their needs</w:t>
            </w:r>
          </w:p>
          <w:p w:rsidR="00ED435E"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Perceptions of bioinformaticians regarding their own understanding of the needs of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Perceptions of </w:t>
            </w:r>
            <w:r>
              <w:rPr>
                <w:rFonts w:ascii="Times New Roman" w:hAnsi="Times New Roman" w:cs="Times New Roman"/>
              </w:rPr>
              <w:t>genomic epidemiologists</w:t>
            </w:r>
            <w:r w:rsidRPr="000B33C3">
              <w:rPr>
                <w:rFonts w:ascii="Times New Roman" w:hAnsi="Times New Roman" w:cs="Times New Roman"/>
              </w:rPr>
              <w:t xml:space="preserve"> regarding </w:t>
            </w:r>
            <w:r w:rsidRPr="000B33C3">
              <w:rPr>
                <w:rFonts w:ascii="Times New Roman" w:hAnsi="Times New Roman" w:cs="Times New Roman"/>
              </w:rPr>
              <w:lastRenderedPageBreak/>
              <w:t>their own understanding of the needs of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Perceptions of bioinformaticians regarding the use of diverse genomic data systems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End users’ perception of the appropriateness of information received (i.e. quality, quantity, utility)</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Geographically dispersed clusters identified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Clusters identified across human, animal and environmental samples</w:t>
            </w:r>
          </w:p>
        </w:tc>
      </w:tr>
      <w:tr w:rsidR="00ED435E" w:rsidRPr="000B33C3" w:rsidTr="00534B55">
        <w:tc>
          <w:tcPr>
            <w:tcW w:w="1659" w:type="dxa"/>
          </w:tcPr>
          <w:p w:rsidR="00ED435E" w:rsidRPr="000B33C3" w:rsidRDefault="00ED435E" w:rsidP="00534B55">
            <w:pPr>
              <w:spacing w:line="360" w:lineRule="auto"/>
              <w:rPr>
                <w:rFonts w:ascii="Times New Roman" w:hAnsi="Times New Roman" w:cs="Times New Roman"/>
              </w:rPr>
            </w:pPr>
            <w:r w:rsidRPr="000B33C3">
              <w:rPr>
                <w:rFonts w:ascii="Times New Roman" w:hAnsi="Times New Roman" w:cs="Times New Roman"/>
              </w:rPr>
              <w:lastRenderedPageBreak/>
              <w:t>Implementation in public health practice</w:t>
            </w:r>
          </w:p>
        </w:tc>
        <w:tc>
          <w:tcPr>
            <w:tcW w:w="2959"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Genomic data is integrated with epidemiological investigations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Routine surveillance conducted across jurisdictions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Routine surveillance conducted across sectors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Coordinated investigations and actions undertaken to respond to outbreaks </w:t>
            </w:r>
            <w:r>
              <w:rPr>
                <w:rFonts w:ascii="Times New Roman" w:hAnsi="Times New Roman" w:cs="Times New Roman"/>
              </w:rPr>
              <w:t xml:space="preserve">within and </w:t>
            </w:r>
            <w:r w:rsidRPr="000B33C3">
              <w:rPr>
                <w:rFonts w:ascii="Times New Roman" w:hAnsi="Times New Roman" w:cs="Times New Roman"/>
              </w:rPr>
              <w:t>across jurisdictions</w:t>
            </w:r>
            <w:r>
              <w:rPr>
                <w:rFonts w:ascii="Times New Roman" w:hAnsi="Times New Roman" w:cs="Times New Roman"/>
              </w:rPr>
              <w:t xml:space="preserve"> and international borders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Coordinated investigations and actions undertaken to respond to outbreaks across sectors</w:t>
            </w:r>
          </w:p>
        </w:tc>
        <w:tc>
          <w:tcPr>
            <w:tcW w:w="2959"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Genomic data is used to support public health decision-making</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Epidemiological links are confirmed or excluded based on genomic data</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Identification of transmission networks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Cross-jurisdictional </w:t>
            </w:r>
            <w:r>
              <w:rPr>
                <w:rFonts w:ascii="Times New Roman" w:hAnsi="Times New Roman" w:cs="Times New Roman"/>
              </w:rPr>
              <w:t xml:space="preserve">and internationally dispersed </w:t>
            </w:r>
            <w:r w:rsidRPr="000B33C3">
              <w:rPr>
                <w:rFonts w:ascii="Times New Roman" w:hAnsi="Times New Roman" w:cs="Times New Roman"/>
              </w:rPr>
              <w:t>clusters routinely identified</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Clusters routinely identified across human, animal and environmental samples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Source contamination accurately identified in a timely manner</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Food recalls are precise and timely</w:t>
            </w:r>
          </w:p>
        </w:tc>
        <w:tc>
          <w:tcPr>
            <w:tcW w:w="2959"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Increased confidence in public-health decision-making</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Public health policies and guidelines are informed by microbial genomics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Public health interventions are appropriately tailored</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Improved understanding of transmission networks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More precise allocation of investigative resources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Reduction in time to identify outbreaks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Reduction in time to respond to an identified outbreak</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Reduction in average size of clusters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Improvements in identifying source contamination</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Improvements in linking cases to source contamination</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Reduced </w:t>
            </w:r>
            <w:r>
              <w:rPr>
                <w:rFonts w:ascii="Times New Roman" w:hAnsi="Times New Roman" w:cs="Times New Roman"/>
              </w:rPr>
              <w:t xml:space="preserve">financial </w:t>
            </w:r>
            <w:r w:rsidRPr="000B33C3">
              <w:rPr>
                <w:rFonts w:ascii="Times New Roman" w:hAnsi="Times New Roman" w:cs="Times New Roman"/>
              </w:rPr>
              <w:t>loss due to food recalls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Reduction in health care costs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Reduction in illness and mortality</w:t>
            </w:r>
          </w:p>
        </w:tc>
        <w:tc>
          <w:tcPr>
            <w:tcW w:w="2959"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End users’ perceptions of utilisation of genomic data in public health decision-making</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Presence of public health policies and guidelines </w:t>
            </w:r>
            <w:r w:rsidRPr="000B33C3">
              <w:rPr>
                <w:rFonts w:ascii="Times New Roman" w:hAnsi="Times New Roman" w:cs="Times New Roman"/>
              </w:rPr>
              <w:lastRenderedPageBreak/>
              <w:t>informed by microbial genomics</w:t>
            </w:r>
          </w:p>
          <w:p w:rsidR="00ED435E"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Perceptions of affected communities of public health actions and interventions </w:t>
            </w:r>
          </w:p>
          <w:p w:rsidR="00ED435E" w:rsidRPr="000B33C3" w:rsidRDefault="00ED435E" w:rsidP="00ED435E">
            <w:pPr>
              <w:pStyle w:val="ListParagraph"/>
              <w:numPr>
                <w:ilvl w:val="0"/>
                <w:numId w:val="4"/>
              </w:numPr>
              <w:spacing w:line="360" w:lineRule="auto"/>
              <w:rPr>
                <w:rFonts w:ascii="Times New Roman" w:hAnsi="Times New Roman" w:cs="Times New Roman"/>
              </w:rPr>
            </w:pPr>
            <w:r>
              <w:rPr>
                <w:rFonts w:ascii="Times New Roman" w:hAnsi="Times New Roman" w:cs="Times New Roman"/>
              </w:rPr>
              <w:t>Indirect consequences (e.g. nosocomial infections leading to ward lockdowns)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Time lapse between identification of cluster and public health action</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Size of identified clusters</w:t>
            </w:r>
          </w:p>
          <w:p w:rsidR="00ED435E"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Proportion of cases linked to identified clusters</w:t>
            </w:r>
          </w:p>
          <w:p w:rsidR="00ED435E" w:rsidRPr="000B33C3" w:rsidRDefault="00ED435E" w:rsidP="00ED435E">
            <w:pPr>
              <w:pStyle w:val="ListParagraph"/>
              <w:numPr>
                <w:ilvl w:val="0"/>
                <w:numId w:val="4"/>
              </w:numPr>
              <w:spacing w:line="360" w:lineRule="auto"/>
              <w:rPr>
                <w:rFonts w:ascii="Times New Roman" w:hAnsi="Times New Roman" w:cs="Times New Roman"/>
              </w:rPr>
            </w:pPr>
            <w:r>
              <w:rPr>
                <w:rFonts w:ascii="Times New Roman" w:hAnsi="Times New Roman" w:cs="Times New Roman"/>
              </w:rPr>
              <w:t>Capture of cases identified without epidemiological data</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Magnitude of food recalls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Precision of food recalls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Number of notifiable illnesses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Health care costs due to notifiable illnesses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Mortality due to notifiable illnesses</w:t>
            </w:r>
          </w:p>
        </w:tc>
      </w:tr>
    </w:tbl>
    <w:p w:rsidR="00ED435E" w:rsidRPr="000B33C3" w:rsidRDefault="00ED435E" w:rsidP="00ED435E">
      <w:pPr>
        <w:spacing w:line="360" w:lineRule="auto"/>
        <w:rPr>
          <w:rFonts w:ascii="Times New Roman" w:hAnsi="Times New Roman" w:cs="Times New Roman"/>
        </w:rPr>
        <w:sectPr w:rsidR="00ED435E" w:rsidRPr="000B33C3" w:rsidSect="00462B27">
          <w:type w:val="nextColumn"/>
          <w:pgSz w:w="15840" w:h="12240" w:orient="landscape"/>
          <w:pgMar w:top="1699" w:right="1411" w:bottom="994" w:left="1411" w:header="706" w:footer="706" w:gutter="0"/>
          <w:cols w:space="708"/>
          <w:docGrid w:linePitch="360"/>
        </w:sectPr>
      </w:pPr>
    </w:p>
    <w:p w:rsidR="00ED435E" w:rsidRPr="000B33C3" w:rsidRDefault="00ED435E" w:rsidP="00ED435E">
      <w:pPr>
        <w:spacing w:after="0" w:line="360" w:lineRule="auto"/>
        <w:rPr>
          <w:rFonts w:ascii="Times New Roman" w:hAnsi="Times New Roman" w:cs="Times New Roman"/>
        </w:rPr>
      </w:pPr>
      <w:r>
        <w:rPr>
          <w:rFonts w:ascii="Times New Roman" w:hAnsi="Times New Roman" w:cs="Times New Roman"/>
          <w:b/>
          <w:bCs/>
        </w:rPr>
        <w:lastRenderedPageBreak/>
        <w:t>Supplementary Table 2</w:t>
      </w:r>
      <w:r w:rsidRPr="000B33C3">
        <w:rPr>
          <w:rFonts w:ascii="Times New Roman" w:hAnsi="Times New Roman" w:cs="Times New Roman"/>
          <w:b/>
          <w:bCs/>
        </w:rPr>
        <w:t>.  Indicators and data collection methods</w:t>
      </w:r>
    </w:p>
    <w:tbl>
      <w:tblPr>
        <w:tblStyle w:val="TableGrid"/>
        <w:tblW w:w="9895" w:type="dxa"/>
        <w:jc w:val="center"/>
        <w:tblLook w:val="04A0" w:firstRow="1" w:lastRow="0" w:firstColumn="1" w:lastColumn="0" w:noHBand="0" w:noVBand="1"/>
      </w:tblPr>
      <w:tblGrid>
        <w:gridCol w:w="2515"/>
        <w:gridCol w:w="7380"/>
      </w:tblGrid>
      <w:tr w:rsidR="00ED435E" w:rsidRPr="000B33C3" w:rsidTr="00534B55">
        <w:trPr>
          <w:jc w:val="center"/>
        </w:trPr>
        <w:tc>
          <w:tcPr>
            <w:tcW w:w="2515"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Data collection methods</w:t>
            </w:r>
          </w:p>
        </w:tc>
        <w:tc>
          <w:tcPr>
            <w:tcW w:w="7380" w:type="dxa"/>
          </w:tcPr>
          <w:p w:rsidR="00ED435E" w:rsidRPr="000B33C3" w:rsidRDefault="00ED435E" w:rsidP="00534B55">
            <w:pPr>
              <w:spacing w:line="360" w:lineRule="auto"/>
              <w:rPr>
                <w:rFonts w:ascii="Times New Roman" w:hAnsi="Times New Roman" w:cs="Times New Roman"/>
                <w:b/>
                <w:bCs/>
              </w:rPr>
            </w:pPr>
            <w:r w:rsidRPr="000B33C3">
              <w:rPr>
                <w:rFonts w:ascii="Times New Roman" w:hAnsi="Times New Roman" w:cs="Times New Roman"/>
                <w:b/>
                <w:bCs/>
              </w:rPr>
              <w:t>Indicators</w:t>
            </w:r>
          </w:p>
        </w:tc>
      </w:tr>
      <w:tr w:rsidR="00ED435E" w:rsidRPr="000B33C3" w:rsidTr="00534B55">
        <w:trPr>
          <w:jc w:val="center"/>
        </w:trPr>
        <w:tc>
          <w:tcPr>
            <w:tcW w:w="2515" w:type="dxa"/>
          </w:tcPr>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 xml:space="preserve">Routine operational laboratory data </w:t>
            </w:r>
          </w:p>
        </w:tc>
        <w:tc>
          <w:tcPr>
            <w:tcW w:w="7380" w:type="dxa"/>
          </w:tcPr>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Number of samples processed per week</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Number of samples analysed per week</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Sample processing times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 xml:space="preserve">Sample analysis times </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Staff, equipment and reagent costs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Quality control outcomes</w:t>
            </w:r>
          </w:p>
          <w:p w:rsidR="00ED435E" w:rsidRPr="000B33C3"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Discriminatory power</w:t>
            </w:r>
          </w:p>
          <w:p w:rsidR="00ED435E" w:rsidRDefault="00ED435E" w:rsidP="00ED435E">
            <w:pPr>
              <w:pStyle w:val="ListParagraph"/>
              <w:numPr>
                <w:ilvl w:val="0"/>
                <w:numId w:val="1"/>
              </w:numPr>
              <w:spacing w:line="360" w:lineRule="auto"/>
              <w:rPr>
                <w:rFonts w:ascii="Times New Roman" w:hAnsi="Times New Roman" w:cs="Times New Roman"/>
              </w:rPr>
            </w:pPr>
            <w:r w:rsidRPr="000B33C3">
              <w:rPr>
                <w:rFonts w:ascii="Times New Roman" w:hAnsi="Times New Roman" w:cs="Times New Roman"/>
              </w:rPr>
              <w:t>Typeability</w:t>
            </w:r>
          </w:p>
          <w:p w:rsidR="00ED435E" w:rsidRPr="000B33C3" w:rsidRDefault="00ED435E" w:rsidP="00ED435E">
            <w:pPr>
              <w:pStyle w:val="ListParagraph"/>
              <w:numPr>
                <w:ilvl w:val="0"/>
                <w:numId w:val="1"/>
              </w:numPr>
              <w:spacing w:line="360" w:lineRule="auto"/>
              <w:rPr>
                <w:rFonts w:ascii="Times New Roman" w:hAnsi="Times New Roman" w:cs="Times New Roman"/>
              </w:rPr>
            </w:pPr>
            <w:r>
              <w:rPr>
                <w:rFonts w:ascii="Times New Roman" w:hAnsi="Times New Roman" w:cs="Times New Roman"/>
              </w:rPr>
              <w:t>Diversity of samples processed per week</w:t>
            </w:r>
          </w:p>
        </w:tc>
      </w:tr>
      <w:tr w:rsidR="00ED435E" w:rsidRPr="000B33C3" w:rsidTr="00534B55">
        <w:trPr>
          <w:jc w:val="center"/>
        </w:trPr>
        <w:tc>
          <w:tcPr>
            <w:tcW w:w="2515" w:type="dxa"/>
          </w:tcPr>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Interviews with public health laboratory personnel </w:t>
            </w:r>
          </w:p>
        </w:tc>
        <w:tc>
          <w:tcPr>
            <w:tcW w:w="7380" w:type="dxa"/>
          </w:tcPr>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Levels of satisfaction with workflow processes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Agreements in place regarding data sharing and rights to access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Satisfaction with agreements governing data sharing and rights to access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Mechanisms in place to facilitate data</w:t>
            </w:r>
            <w:r>
              <w:rPr>
                <w:rFonts w:ascii="Times New Roman" w:hAnsi="Times New Roman" w:cs="Times New Roman"/>
              </w:rPr>
              <w:t xml:space="preserve"> archiving, tracking, tracing, and</w:t>
            </w:r>
            <w:r w:rsidRPr="000B33C3">
              <w:rPr>
                <w:rFonts w:ascii="Times New Roman" w:hAnsi="Times New Roman" w:cs="Times New Roman"/>
              </w:rPr>
              <w:t xml:space="preserve"> sharing</w:t>
            </w:r>
          </w:p>
          <w:p w:rsidR="00ED435E"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Satisfaction with mechanisms in place to facilitate data</w:t>
            </w:r>
            <w:r>
              <w:rPr>
                <w:rFonts w:ascii="Times New Roman" w:hAnsi="Times New Roman" w:cs="Times New Roman"/>
              </w:rPr>
              <w:t xml:space="preserve"> archiving, tracking, tracing, and</w:t>
            </w:r>
            <w:r w:rsidRPr="000B33C3">
              <w:rPr>
                <w:rFonts w:ascii="Times New Roman" w:hAnsi="Times New Roman" w:cs="Times New Roman"/>
              </w:rPr>
              <w:t xml:space="preserve"> sharing</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Perceptions of </w:t>
            </w:r>
            <w:r>
              <w:rPr>
                <w:rFonts w:ascii="Times New Roman" w:hAnsi="Times New Roman" w:cs="Times New Roman"/>
              </w:rPr>
              <w:t>genomic epidemiologists</w:t>
            </w:r>
            <w:r w:rsidRPr="000B33C3">
              <w:rPr>
                <w:rFonts w:ascii="Times New Roman" w:hAnsi="Times New Roman" w:cs="Times New Roman"/>
              </w:rPr>
              <w:t xml:space="preserve"> regarding their own understanding of the needs of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Perceptions of bioinformaticians regarding their own understanding of the needs of end users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Perceptions of bioinformaticians regarding the use of diverse genomic data systems</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Quality of information provided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Routine reports issued</w:t>
            </w:r>
          </w:p>
          <w:p w:rsidR="00ED435E" w:rsidRPr="000B33C3" w:rsidRDefault="00ED435E" w:rsidP="00ED435E">
            <w:pPr>
              <w:pStyle w:val="ListParagraph"/>
              <w:numPr>
                <w:ilvl w:val="0"/>
                <w:numId w:val="3"/>
              </w:numPr>
              <w:spacing w:line="360" w:lineRule="auto"/>
              <w:rPr>
                <w:rFonts w:ascii="Times New Roman" w:hAnsi="Times New Roman" w:cs="Times New Roman"/>
              </w:rPr>
            </w:pPr>
            <w:r w:rsidRPr="000B33C3">
              <w:rPr>
                <w:rFonts w:ascii="Times New Roman" w:hAnsi="Times New Roman" w:cs="Times New Roman"/>
              </w:rPr>
              <w:t xml:space="preserve">Ad hoc reports issued </w:t>
            </w:r>
          </w:p>
        </w:tc>
      </w:tr>
      <w:tr w:rsidR="00ED435E" w:rsidRPr="000B33C3" w:rsidTr="00534B55">
        <w:trPr>
          <w:jc w:val="center"/>
        </w:trPr>
        <w:tc>
          <w:tcPr>
            <w:tcW w:w="2515"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Interviews with end users</w:t>
            </w:r>
          </w:p>
        </w:tc>
        <w:tc>
          <w:tcPr>
            <w:tcW w:w="7380"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Agreements in place regarding reporting processes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Routine reports </w:t>
            </w:r>
            <w:r>
              <w:rPr>
                <w:rFonts w:ascii="Times New Roman" w:hAnsi="Times New Roman" w:cs="Times New Roman"/>
              </w:rPr>
              <w:t xml:space="preserve">requested, </w:t>
            </w:r>
            <w:r w:rsidRPr="000B33C3">
              <w:rPr>
                <w:rFonts w:ascii="Times New Roman" w:hAnsi="Times New Roman" w:cs="Times New Roman"/>
              </w:rPr>
              <w:t>issued</w:t>
            </w:r>
            <w:r>
              <w:rPr>
                <w:rFonts w:ascii="Times New Roman" w:hAnsi="Times New Roman" w:cs="Times New Roman"/>
              </w:rPr>
              <w:t xml:space="preserve"> and received</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Ad hoc reports </w:t>
            </w:r>
            <w:r>
              <w:rPr>
                <w:rFonts w:ascii="Times New Roman" w:hAnsi="Times New Roman" w:cs="Times New Roman"/>
              </w:rPr>
              <w:t xml:space="preserve">requested, </w:t>
            </w:r>
            <w:r w:rsidRPr="000B33C3">
              <w:rPr>
                <w:rFonts w:ascii="Times New Roman" w:hAnsi="Times New Roman" w:cs="Times New Roman"/>
              </w:rPr>
              <w:t xml:space="preserve">issued </w:t>
            </w:r>
            <w:r>
              <w:rPr>
                <w:rFonts w:ascii="Times New Roman" w:hAnsi="Times New Roman" w:cs="Times New Roman"/>
              </w:rPr>
              <w:t>and received</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End users’ perceptions of utilisation of genomic data in public health decision-making</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Retention of key information by end users</w:t>
            </w:r>
          </w:p>
          <w:p w:rsidR="00ED435E"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lastRenderedPageBreak/>
              <w:t>Perceptions of end users regarding their own understanding of the uses and limitations of microbial genomics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Perceptions of end users regarding </w:t>
            </w:r>
            <w:r>
              <w:rPr>
                <w:rFonts w:ascii="Times New Roman" w:hAnsi="Times New Roman" w:cs="Times New Roman"/>
              </w:rPr>
              <w:t>genomic epidemiologists</w:t>
            </w:r>
            <w:r w:rsidRPr="000B33C3">
              <w:rPr>
                <w:rFonts w:ascii="Times New Roman" w:hAnsi="Times New Roman" w:cs="Times New Roman"/>
              </w:rPr>
              <w:t>’ understanding of their needs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Perceptions of end users regarding bioinformaticians’ understanding of their needs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End users’ perception of the appropriateness of information received (i.e. quality, quantity, utility)</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 xml:space="preserve">Perceptions of affected communities of public health actions and interventions </w:t>
            </w:r>
          </w:p>
          <w:p w:rsidR="00ED435E"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Presence of public health policies and guidelines informed by microbial genomics</w:t>
            </w:r>
          </w:p>
          <w:p w:rsidR="00ED435E" w:rsidRPr="000B33C3" w:rsidRDefault="00ED435E" w:rsidP="00ED435E">
            <w:pPr>
              <w:pStyle w:val="ListParagraph"/>
              <w:numPr>
                <w:ilvl w:val="0"/>
                <w:numId w:val="4"/>
              </w:numPr>
              <w:spacing w:line="360" w:lineRule="auto"/>
              <w:rPr>
                <w:rFonts w:ascii="Times New Roman" w:hAnsi="Times New Roman" w:cs="Times New Roman"/>
              </w:rPr>
            </w:pPr>
            <w:r>
              <w:rPr>
                <w:rFonts w:ascii="Times New Roman" w:hAnsi="Times New Roman" w:cs="Times New Roman"/>
              </w:rPr>
              <w:t>Indirect consequences (e.g. nosocomial infections leading to ward lockdowns)</w:t>
            </w:r>
          </w:p>
        </w:tc>
      </w:tr>
      <w:tr w:rsidR="00ED435E" w:rsidRPr="000B33C3" w:rsidTr="00534B55">
        <w:trPr>
          <w:jc w:val="center"/>
        </w:trPr>
        <w:tc>
          <w:tcPr>
            <w:tcW w:w="2515"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Public</w:t>
            </w:r>
            <w:r w:rsidRPr="000B33C3">
              <w:rPr>
                <w:rFonts w:ascii="Times New Roman" w:hAnsi="Times New Roman" w:cs="Times New Roman"/>
              </w:rPr>
              <w:t xml:space="preserve"> health data (i.e. notifiable illnesses, public health surveillance data)</w:t>
            </w:r>
          </w:p>
        </w:tc>
        <w:tc>
          <w:tcPr>
            <w:tcW w:w="7380"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Time lapse between identification of cluster and public health action</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Geographically dispersed clusters identified</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Clusters identified across human, animal and environmental samples</w:t>
            </w:r>
          </w:p>
          <w:p w:rsidR="00ED435E"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Size of identified clusters</w:t>
            </w:r>
          </w:p>
          <w:p w:rsidR="00ED435E" w:rsidRPr="000B33C3" w:rsidRDefault="00ED435E" w:rsidP="00ED435E">
            <w:pPr>
              <w:pStyle w:val="ListParagraph"/>
              <w:numPr>
                <w:ilvl w:val="0"/>
                <w:numId w:val="4"/>
              </w:numPr>
              <w:spacing w:line="360" w:lineRule="auto"/>
              <w:rPr>
                <w:rFonts w:ascii="Times New Roman" w:hAnsi="Times New Roman" w:cs="Times New Roman"/>
              </w:rPr>
            </w:pPr>
            <w:r>
              <w:rPr>
                <w:rFonts w:ascii="Times New Roman" w:hAnsi="Times New Roman" w:cs="Times New Roman"/>
              </w:rPr>
              <w:t>Capture of cases identified without epidemiological data</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Proportion of cases linked to identified clusters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Number of notifiable illnesses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Health care costs due to notifiable illnesses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Mortality due to notifiable illnesses</w:t>
            </w:r>
          </w:p>
        </w:tc>
      </w:tr>
      <w:tr w:rsidR="00ED435E" w:rsidRPr="000B33C3" w:rsidTr="00534B55">
        <w:trPr>
          <w:jc w:val="center"/>
        </w:trPr>
        <w:tc>
          <w:tcPr>
            <w:tcW w:w="2515"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lang w:val="en-US"/>
              </w:rPr>
              <w:t>Publicly available food recall data</w:t>
            </w:r>
          </w:p>
        </w:tc>
        <w:tc>
          <w:tcPr>
            <w:tcW w:w="7380" w:type="dxa"/>
          </w:tcPr>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Magnitude of food recalls</w:t>
            </w:r>
          </w:p>
          <w:p w:rsidR="00ED435E" w:rsidRPr="000B33C3" w:rsidRDefault="00ED435E" w:rsidP="00ED435E">
            <w:pPr>
              <w:pStyle w:val="ListParagraph"/>
              <w:numPr>
                <w:ilvl w:val="0"/>
                <w:numId w:val="4"/>
              </w:numPr>
              <w:spacing w:line="360" w:lineRule="auto"/>
              <w:rPr>
                <w:rFonts w:ascii="Times New Roman" w:hAnsi="Times New Roman" w:cs="Times New Roman"/>
              </w:rPr>
            </w:pPr>
            <w:r w:rsidRPr="000B33C3">
              <w:rPr>
                <w:rFonts w:ascii="Times New Roman" w:hAnsi="Times New Roman" w:cs="Times New Roman"/>
              </w:rPr>
              <w:t>Precision of food recalls</w:t>
            </w:r>
          </w:p>
        </w:tc>
      </w:tr>
    </w:tbl>
    <w:p w:rsidR="00ED435E" w:rsidRDefault="00ED435E" w:rsidP="00ED435E">
      <w:pPr>
        <w:spacing w:line="360" w:lineRule="auto"/>
        <w:rPr>
          <w:rFonts w:ascii="Times New Roman" w:hAnsi="Times New Roman" w:cs="Times New Roman"/>
          <w:b/>
          <w:bCs/>
        </w:rPr>
        <w:sectPr w:rsidR="00ED435E" w:rsidSect="00462B27">
          <w:pgSz w:w="12240" w:h="15840"/>
          <w:pgMar w:top="1417" w:right="1260" w:bottom="1417" w:left="1350" w:header="708" w:footer="708" w:gutter="0"/>
          <w:cols w:space="708"/>
          <w:docGrid w:linePitch="360"/>
        </w:sectPr>
      </w:pPr>
    </w:p>
    <w:p w:rsidR="00ED435E" w:rsidRPr="0088678D" w:rsidRDefault="00ED435E" w:rsidP="00ED435E">
      <w:pPr>
        <w:spacing w:line="360" w:lineRule="auto"/>
        <w:rPr>
          <w:rFonts w:ascii="Times New Roman" w:hAnsi="Times New Roman" w:cs="Times New Roman"/>
          <w:b/>
          <w:bCs/>
        </w:rPr>
      </w:pPr>
      <w:r>
        <w:rPr>
          <w:rFonts w:ascii="Times New Roman" w:hAnsi="Times New Roman" w:cs="Times New Roman"/>
          <w:b/>
          <w:bCs/>
        </w:rPr>
        <w:lastRenderedPageBreak/>
        <w:t>Supplementary Table 3</w:t>
      </w:r>
      <w:r w:rsidRPr="0088678D">
        <w:rPr>
          <w:rFonts w:ascii="Times New Roman" w:hAnsi="Times New Roman" w:cs="Times New Roman"/>
          <w:b/>
          <w:bCs/>
        </w:rPr>
        <w:t>: Considerations in evaluation design of Phase 3, Part 2 case studies and suggested evaluation measures</w:t>
      </w:r>
    </w:p>
    <w:tbl>
      <w:tblPr>
        <w:tblW w:w="14497" w:type="dxa"/>
        <w:tblInd w:w="-1173" w:type="dxa"/>
        <w:tblCellMar>
          <w:left w:w="0" w:type="dxa"/>
          <w:right w:w="0" w:type="dxa"/>
        </w:tblCellMar>
        <w:tblLook w:val="04A0" w:firstRow="1" w:lastRow="0" w:firstColumn="1" w:lastColumn="0" w:noHBand="0" w:noVBand="1"/>
      </w:tblPr>
      <w:tblGrid>
        <w:gridCol w:w="1620"/>
        <w:gridCol w:w="4292"/>
        <w:gridCol w:w="4292"/>
        <w:gridCol w:w="4293"/>
      </w:tblGrid>
      <w:tr w:rsidR="00ED435E" w:rsidRPr="0074168D" w:rsidTr="00534B55">
        <w:trPr>
          <w:trHeight w:val="430"/>
        </w:trPr>
        <w:tc>
          <w:tcPr>
            <w:tcW w:w="1620" w:type="dxa"/>
            <w:vMerge w:val="restart"/>
            <w:tcBorders>
              <w:top w:val="single" w:sz="2" w:space="0" w:color="034EA2"/>
              <w:left w:val="single" w:sz="2" w:space="0" w:color="034EA2"/>
              <w:right w:val="single" w:sz="2" w:space="0" w:color="034EA2"/>
            </w:tcBorders>
            <w:shd w:val="clear" w:color="auto" w:fill="auto"/>
            <w:tcMar>
              <w:top w:w="15" w:type="dxa"/>
              <w:left w:w="56" w:type="dxa"/>
              <w:bottom w:w="0" w:type="dxa"/>
              <w:right w:w="56" w:type="dxa"/>
            </w:tcMar>
          </w:tcPr>
          <w:p w:rsidR="00ED435E" w:rsidRPr="0074168D" w:rsidRDefault="00ED435E" w:rsidP="00534B55">
            <w:pPr>
              <w:spacing w:line="276" w:lineRule="auto"/>
              <w:rPr>
                <w:rFonts w:ascii="Times New Roman" w:hAnsi="Times New Roman" w:cs="Times New Roman"/>
              </w:rPr>
            </w:pPr>
          </w:p>
        </w:tc>
        <w:tc>
          <w:tcPr>
            <w:tcW w:w="12877" w:type="dxa"/>
            <w:gridSpan w:val="3"/>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vAlign w:val="center"/>
          </w:tcPr>
          <w:p w:rsidR="00ED435E" w:rsidRPr="0074168D" w:rsidRDefault="00ED435E" w:rsidP="00534B55">
            <w:pPr>
              <w:spacing w:after="0" w:line="276" w:lineRule="auto"/>
              <w:jc w:val="center"/>
              <w:rPr>
                <w:rFonts w:ascii="Times New Roman" w:hAnsi="Times New Roman" w:cs="Times New Roman"/>
                <w:b/>
                <w:bCs/>
              </w:rPr>
            </w:pPr>
            <w:r w:rsidRPr="0074168D">
              <w:rPr>
                <w:rFonts w:ascii="Times New Roman" w:hAnsi="Times New Roman" w:cs="Times New Roman"/>
                <w:b/>
                <w:bCs/>
              </w:rPr>
              <w:t>Evaluation design</w:t>
            </w:r>
          </w:p>
        </w:tc>
      </w:tr>
      <w:tr w:rsidR="00ED435E" w:rsidRPr="0074168D" w:rsidTr="00534B55">
        <w:trPr>
          <w:trHeight w:val="750"/>
        </w:trPr>
        <w:tc>
          <w:tcPr>
            <w:tcW w:w="1620" w:type="dxa"/>
            <w:vMerge/>
            <w:tcBorders>
              <w:left w:val="single" w:sz="2" w:space="0" w:color="034EA2"/>
              <w:bottom w:val="single" w:sz="2" w:space="0" w:color="034EA2"/>
              <w:right w:val="single" w:sz="2" w:space="0" w:color="034EA2"/>
            </w:tcBorders>
            <w:shd w:val="clear" w:color="auto" w:fill="auto"/>
            <w:tcMar>
              <w:top w:w="15" w:type="dxa"/>
              <w:left w:w="56" w:type="dxa"/>
              <w:bottom w:w="0" w:type="dxa"/>
              <w:right w:w="56" w:type="dxa"/>
            </w:tcMar>
            <w:hideMark/>
          </w:tcPr>
          <w:p w:rsidR="00ED435E" w:rsidRPr="0074168D" w:rsidRDefault="00ED435E" w:rsidP="00534B55">
            <w:pPr>
              <w:spacing w:line="276" w:lineRule="auto"/>
              <w:rPr>
                <w:rFonts w:ascii="Times New Roman" w:hAnsi="Times New Roman" w:cs="Times New Roman"/>
              </w:rPr>
            </w:pPr>
          </w:p>
        </w:tc>
        <w:tc>
          <w:tcPr>
            <w:tcW w:w="4292"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hideMark/>
          </w:tcPr>
          <w:p w:rsidR="00ED435E" w:rsidRPr="0074168D" w:rsidRDefault="00ED435E" w:rsidP="00534B55">
            <w:pPr>
              <w:spacing w:line="276" w:lineRule="auto"/>
              <w:rPr>
                <w:rFonts w:ascii="Times New Roman" w:hAnsi="Times New Roman" w:cs="Times New Roman"/>
                <w:b/>
                <w:bCs/>
              </w:rPr>
            </w:pPr>
            <w:r w:rsidRPr="0074168D">
              <w:rPr>
                <w:rFonts w:ascii="Times New Roman" w:hAnsi="Times New Roman" w:cs="Times New Roman"/>
                <w:b/>
                <w:bCs/>
              </w:rPr>
              <w:t>Case study 1: Listeria monocytogenes: Pre/post design</w:t>
            </w:r>
          </w:p>
        </w:tc>
        <w:tc>
          <w:tcPr>
            <w:tcW w:w="4292"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hideMark/>
          </w:tcPr>
          <w:p w:rsidR="00ED435E" w:rsidRPr="0074168D" w:rsidRDefault="00ED435E" w:rsidP="00534B55">
            <w:pPr>
              <w:spacing w:line="276" w:lineRule="auto"/>
              <w:rPr>
                <w:rFonts w:ascii="Times New Roman" w:hAnsi="Times New Roman" w:cs="Times New Roman"/>
                <w:b/>
                <w:bCs/>
              </w:rPr>
            </w:pPr>
            <w:r w:rsidRPr="0074168D">
              <w:rPr>
                <w:rFonts w:ascii="Times New Roman" w:hAnsi="Times New Roman" w:cs="Times New Roman"/>
                <w:b/>
                <w:bCs/>
              </w:rPr>
              <w:t>Case study 2: Mycobacterium tuberculosis: Retrospective analysis</w:t>
            </w:r>
          </w:p>
        </w:tc>
        <w:tc>
          <w:tcPr>
            <w:tcW w:w="4293"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hideMark/>
          </w:tcPr>
          <w:p w:rsidR="00ED435E" w:rsidRPr="0074168D" w:rsidRDefault="00ED435E" w:rsidP="00534B55">
            <w:pPr>
              <w:spacing w:line="276" w:lineRule="auto"/>
              <w:rPr>
                <w:rFonts w:ascii="Times New Roman" w:hAnsi="Times New Roman" w:cs="Times New Roman"/>
                <w:b/>
                <w:bCs/>
              </w:rPr>
            </w:pPr>
            <w:r w:rsidRPr="0074168D">
              <w:rPr>
                <w:rFonts w:ascii="Times New Roman" w:hAnsi="Times New Roman" w:cs="Times New Roman"/>
                <w:b/>
                <w:bCs/>
              </w:rPr>
              <w:t>Case study 3: SARS-CoV-2: Mathematical modelling</w:t>
            </w:r>
          </w:p>
        </w:tc>
      </w:tr>
      <w:tr w:rsidR="00ED435E" w:rsidRPr="0074168D" w:rsidTr="00534B55">
        <w:trPr>
          <w:trHeight w:val="2746"/>
        </w:trPr>
        <w:tc>
          <w:tcPr>
            <w:tcW w:w="1620"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88678D" w:rsidRDefault="00ED435E" w:rsidP="00534B55">
            <w:pPr>
              <w:spacing w:line="276" w:lineRule="auto"/>
              <w:rPr>
                <w:rFonts w:ascii="Times New Roman" w:hAnsi="Times New Roman" w:cs="Times New Roman"/>
                <w:b/>
                <w:bCs/>
              </w:rPr>
            </w:pPr>
            <w:r w:rsidRPr="0088678D">
              <w:rPr>
                <w:rFonts w:ascii="Times New Roman" w:hAnsi="Times New Roman" w:cs="Times New Roman"/>
                <w:b/>
                <w:bCs/>
              </w:rPr>
              <w:t>Availability of data</w:t>
            </w:r>
          </w:p>
        </w:tc>
        <w:tc>
          <w:tcPr>
            <w:tcW w:w="4292"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88678D" w:rsidRDefault="00ED435E" w:rsidP="00ED435E">
            <w:pPr>
              <w:pStyle w:val="ListParagraph"/>
              <w:numPr>
                <w:ilvl w:val="0"/>
                <w:numId w:val="10"/>
              </w:numPr>
              <w:spacing w:line="276" w:lineRule="auto"/>
              <w:rPr>
                <w:rFonts w:ascii="Times New Roman" w:hAnsi="Times New Roman" w:cs="Times New Roman"/>
                <w:lang w:val="en-US"/>
              </w:rPr>
            </w:pPr>
            <w:r w:rsidRPr="0088678D">
              <w:rPr>
                <w:rFonts w:ascii="Times New Roman" w:hAnsi="Times New Roman" w:cs="Times New Roman"/>
                <w:lang w:val="en-US"/>
              </w:rPr>
              <w:t>Sufficient data from period prior to the introduction of WGS</w:t>
            </w:r>
          </w:p>
          <w:p w:rsidR="00ED435E" w:rsidRPr="0088678D" w:rsidRDefault="00ED435E" w:rsidP="00ED435E">
            <w:pPr>
              <w:pStyle w:val="ListParagraph"/>
              <w:numPr>
                <w:ilvl w:val="0"/>
                <w:numId w:val="10"/>
              </w:numPr>
              <w:spacing w:line="276" w:lineRule="auto"/>
              <w:rPr>
                <w:rFonts w:ascii="Times New Roman" w:hAnsi="Times New Roman" w:cs="Times New Roman"/>
                <w:lang w:val="en-US"/>
              </w:rPr>
            </w:pPr>
            <w:r w:rsidRPr="0088678D">
              <w:rPr>
                <w:rFonts w:ascii="Times New Roman" w:hAnsi="Times New Roman" w:cs="Times New Roman"/>
                <w:lang w:val="en-US"/>
              </w:rPr>
              <w:t>Sufficient data from period subsequent to the introduction of WGS</w:t>
            </w:r>
          </w:p>
          <w:p w:rsidR="00ED435E" w:rsidRPr="0088678D" w:rsidRDefault="00ED435E" w:rsidP="00ED435E">
            <w:pPr>
              <w:pStyle w:val="ListParagraph"/>
              <w:numPr>
                <w:ilvl w:val="0"/>
                <w:numId w:val="10"/>
              </w:numPr>
              <w:spacing w:line="276" w:lineRule="auto"/>
              <w:rPr>
                <w:rFonts w:ascii="Times New Roman" w:hAnsi="Times New Roman" w:cs="Times New Roman"/>
                <w:lang w:val="en-US"/>
              </w:rPr>
            </w:pPr>
            <w:r w:rsidRPr="0088678D">
              <w:rPr>
                <w:rFonts w:ascii="Times New Roman" w:hAnsi="Times New Roman" w:cs="Times New Roman"/>
                <w:lang w:val="en-US"/>
              </w:rPr>
              <w:t>Period of time following introduction of WGS and its incorporation into public health practice is sufficient for effects on health outcomes to be apparent</w:t>
            </w:r>
          </w:p>
        </w:tc>
        <w:tc>
          <w:tcPr>
            <w:tcW w:w="4292"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88678D" w:rsidRDefault="00ED435E" w:rsidP="00ED435E">
            <w:pPr>
              <w:pStyle w:val="ListParagraph"/>
              <w:numPr>
                <w:ilvl w:val="0"/>
                <w:numId w:val="6"/>
              </w:numPr>
              <w:spacing w:line="276" w:lineRule="auto"/>
              <w:rPr>
                <w:rFonts w:ascii="Times New Roman" w:hAnsi="Times New Roman" w:cs="Times New Roman"/>
                <w:lang w:val="en-US"/>
              </w:rPr>
            </w:pPr>
            <w:r w:rsidRPr="0088678D">
              <w:rPr>
                <w:rFonts w:ascii="Times New Roman" w:hAnsi="Times New Roman" w:cs="Times New Roman"/>
                <w:lang w:val="en-US"/>
              </w:rPr>
              <w:t>Sufficient data from period prior to the introduction of WGS</w:t>
            </w:r>
          </w:p>
          <w:p w:rsidR="00ED435E" w:rsidRPr="0088678D" w:rsidRDefault="00ED435E" w:rsidP="00ED435E">
            <w:pPr>
              <w:pStyle w:val="ListParagraph"/>
              <w:numPr>
                <w:ilvl w:val="0"/>
                <w:numId w:val="5"/>
              </w:numPr>
              <w:spacing w:line="276" w:lineRule="auto"/>
              <w:rPr>
                <w:rFonts w:ascii="Times New Roman" w:hAnsi="Times New Roman" w:cs="Times New Roman"/>
                <w:lang w:val="en-US"/>
              </w:rPr>
            </w:pPr>
            <w:r w:rsidRPr="0088678D">
              <w:rPr>
                <w:rFonts w:ascii="Times New Roman" w:hAnsi="Times New Roman" w:cs="Times New Roman"/>
                <w:lang w:val="en-US"/>
              </w:rPr>
              <w:t>Sufficient data from period subsequent to the introduction of WGS</w:t>
            </w:r>
          </w:p>
          <w:p w:rsidR="00ED435E" w:rsidRPr="0088678D" w:rsidRDefault="00ED435E" w:rsidP="00ED435E">
            <w:pPr>
              <w:pStyle w:val="ListParagraph"/>
              <w:numPr>
                <w:ilvl w:val="0"/>
                <w:numId w:val="5"/>
              </w:numPr>
              <w:spacing w:line="276" w:lineRule="auto"/>
              <w:rPr>
                <w:rFonts w:ascii="Times New Roman" w:hAnsi="Times New Roman" w:cs="Times New Roman"/>
                <w:lang w:val="en-US"/>
              </w:rPr>
            </w:pPr>
            <w:r w:rsidRPr="0088678D">
              <w:rPr>
                <w:rFonts w:ascii="Times New Roman" w:hAnsi="Times New Roman" w:cs="Times New Roman"/>
                <w:lang w:val="en-US"/>
              </w:rPr>
              <w:t>Period of time following introduction of WGS and its incorporation into public health practice is sufficient for effects on health outcomes to be apparent</w:t>
            </w:r>
          </w:p>
          <w:p w:rsidR="00ED435E" w:rsidRPr="0074168D" w:rsidRDefault="00ED435E" w:rsidP="00ED435E">
            <w:pPr>
              <w:pStyle w:val="ListParagraph"/>
              <w:numPr>
                <w:ilvl w:val="0"/>
                <w:numId w:val="7"/>
              </w:numPr>
              <w:spacing w:line="276" w:lineRule="auto"/>
              <w:rPr>
                <w:rFonts w:ascii="Times New Roman" w:hAnsi="Times New Roman" w:cs="Times New Roman"/>
                <w:lang w:val="en-US"/>
              </w:rPr>
            </w:pPr>
            <w:r w:rsidRPr="0088678D">
              <w:rPr>
                <w:rFonts w:ascii="Times New Roman" w:hAnsi="Times New Roman" w:cs="Times New Roman"/>
                <w:lang w:val="en-US"/>
              </w:rPr>
              <w:t>Capacity to retrospectively sequence isolates from the period prior to introduction of WGS</w:t>
            </w:r>
          </w:p>
        </w:tc>
        <w:tc>
          <w:tcPr>
            <w:tcW w:w="4293"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88678D" w:rsidRDefault="00ED435E" w:rsidP="00ED435E">
            <w:pPr>
              <w:pStyle w:val="ListParagraph"/>
              <w:numPr>
                <w:ilvl w:val="0"/>
                <w:numId w:val="8"/>
              </w:numPr>
              <w:spacing w:line="276" w:lineRule="auto"/>
              <w:rPr>
                <w:rFonts w:ascii="Times New Roman" w:hAnsi="Times New Roman" w:cs="Times New Roman"/>
                <w:lang w:val="en-US"/>
              </w:rPr>
            </w:pPr>
            <w:r w:rsidRPr="0088678D">
              <w:rPr>
                <w:rFonts w:ascii="Times New Roman" w:hAnsi="Times New Roman" w:cs="Times New Roman"/>
                <w:lang w:val="en-US"/>
              </w:rPr>
              <w:t>Sufficient data from period prior to the introduction of WGS and the relevant pathogen</w:t>
            </w:r>
          </w:p>
          <w:p w:rsidR="00ED435E" w:rsidRPr="0088678D" w:rsidRDefault="00ED435E" w:rsidP="00ED435E">
            <w:pPr>
              <w:pStyle w:val="ListParagraph"/>
              <w:numPr>
                <w:ilvl w:val="0"/>
                <w:numId w:val="9"/>
              </w:numPr>
              <w:spacing w:line="276" w:lineRule="auto"/>
              <w:rPr>
                <w:rFonts w:ascii="Times New Roman" w:hAnsi="Times New Roman" w:cs="Times New Roman"/>
                <w:lang w:val="en-US"/>
              </w:rPr>
            </w:pPr>
            <w:r w:rsidRPr="0088678D">
              <w:rPr>
                <w:rFonts w:ascii="Times New Roman" w:hAnsi="Times New Roman" w:cs="Times New Roman"/>
                <w:lang w:val="en-US"/>
              </w:rPr>
              <w:t>Sufficient data from period subsequent to the introduction of WGS and the relevant pathogen</w:t>
            </w:r>
          </w:p>
          <w:p w:rsidR="00ED435E" w:rsidRPr="0088678D" w:rsidRDefault="00ED435E" w:rsidP="00ED435E">
            <w:pPr>
              <w:pStyle w:val="ListParagraph"/>
              <w:numPr>
                <w:ilvl w:val="0"/>
                <w:numId w:val="9"/>
              </w:numPr>
              <w:spacing w:line="276" w:lineRule="auto"/>
              <w:rPr>
                <w:rFonts w:ascii="Times New Roman" w:hAnsi="Times New Roman" w:cs="Times New Roman"/>
                <w:lang w:val="en-US"/>
              </w:rPr>
            </w:pPr>
            <w:r w:rsidRPr="0088678D">
              <w:rPr>
                <w:rFonts w:ascii="Times New Roman" w:hAnsi="Times New Roman" w:cs="Times New Roman"/>
                <w:lang w:val="en-US"/>
              </w:rPr>
              <w:t>Period of time following introduction of WGS and its incorporation into public health practice is sufficient for effects on health outcomes to be apparent</w:t>
            </w:r>
          </w:p>
          <w:p w:rsidR="00ED435E" w:rsidRPr="0074168D" w:rsidRDefault="00ED435E" w:rsidP="00ED435E">
            <w:pPr>
              <w:pStyle w:val="ListParagraph"/>
              <w:numPr>
                <w:ilvl w:val="0"/>
                <w:numId w:val="9"/>
              </w:numPr>
              <w:spacing w:line="276" w:lineRule="auto"/>
              <w:rPr>
                <w:rFonts w:ascii="Times New Roman" w:hAnsi="Times New Roman" w:cs="Times New Roman"/>
                <w:lang w:val="en-US"/>
              </w:rPr>
            </w:pPr>
            <w:r w:rsidRPr="0088678D">
              <w:rPr>
                <w:rFonts w:ascii="Times New Roman" w:hAnsi="Times New Roman" w:cs="Times New Roman"/>
                <w:lang w:val="en-US"/>
              </w:rPr>
              <w:t>Available data from a similar context where WGS was not integrated into the public health response</w:t>
            </w:r>
          </w:p>
        </w:tc>
      </w:tr>
      <w:tr w:rsidR="00ED435E" w:rsidRPr="0074168D" w:rsidTr="00534B55">
        <w:trPr>
          <w:trHeight w:val="819"/>
        </w:trPr>
        <w:tc>
          <w:tcPr>
            <w:tcW w:w="1620"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88678D" w:rsidRDefault="00ED435E" w:rsidP="00534B55">
            <w:pPr>
              <w:spacing w:line="276" w:lineRule="auto"/>
              <w:rPr>
                <w:rFonts w:ascii="Times New Roman" w:hAnsi="Times New Roman" w:cs="Times New Roman"/>
                <w:b/>
                <w:bCs/>
              </w:rPr>
            </w:pPr>
            <w:r w:rsidRPr="0088678D">
              <w:rPr>
                <w:rFonts w:ascii="Times New Roman" w:hAnsi="Times New Roman" w:cs="Times New Roman"/>
                <w:b/>
                <w:bCs/>
              </w:rPr>
              <w:t>Suggested measures</w:t>
            </w:r>
          </w:p>
        </w:tc>
        <w:tc>
          <w:tcPr>
            <w:tcW w:w="4292"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Number of identified clusters</w:t>
            </w:r>
          </w:p>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Number of isolates within clusters</w:t>
            </w:r>
          </w:p>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Geographical spread of clusters</w:t>
            </w:r>
          </w:p>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Number of cases linked to international data</w:t>
            </w:r>
          </w:p>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Percent of isolates linked to a cluster</w:t>
            </w:r>
          </w:p>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 xml:space="preserve">Number of isolates/clusters traced to a common source </w:t>
            </w:r>
          </w:p>
          <w:p w:rsidR="00ED435E" w:rsidRPr="0088678D" w:rsidRDefault="00ED435E" w:rsidP="00ED435E">
            <w:pPr>
              <w:pStyle w:val="ListParagraph"/>
              <w:numPr>
                <w:ilvl w:val="0"/>
                <w:numId w:val="11"/>
              </w:numPr>
              <w:rPr>
                <w:rFonts w:ascii="Times New Roman" w:hAnsi="Times New Roman" w:cs="Times New Roman"/>
              </w:rPr>
            </w:pPr>
            <w:r w:rsidRPr="0088678D">
              <w:rPr>
                <w:rFonts w:ascii="Times New Roman" w:hAnsi="Times New Roman" w:cs="Times New Roman"/>
              </w:rPr>
              <w:t xml:space="preserve">Number of resolved </w:t>
            </w:r>
            <w:r>
              <w:rPr>
                <w:rFonts w:ascii="Times New Roman" w:hAnsi="Times New Roman" w:cs="Times New Roman"/>
              </w:rPr>
              <w:t>outbreak</w:t>
            </w:r>
            <w:r w:rsidRPr="0088678D">
              <w:rPr>
                <w:rFonts w:ascii="Times New Roman" w:hAnsi="Times New Roman" w:cs="Times New Roman"/>
              </w:rPr>
              <w:t>s</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Number of isolates contributed to international databases</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Costs of epidemiological investigation</w:t>
            </w:r>
          </w:p>
          <w:p w:rsidR="00ED435E" w:rsidRPr="008867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lastRenderedPageBreak/>
              <w:t>Frequency, magnitude and costs of food recalls</w:t>
            </w:r>
          </w:p>
        </w:tc>
        <w:tc>
          <w:tcPr>
            <w:tcW w:w="4292"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lastRenderedPageBreak/>
              <w:t>Estimated number of cases averted</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Estimated avoided costs to the health care system</w:t>
            </w:r>
          </w:p>
          <w:p w:rsidR="00ED435E" w:rsidRPr="008867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Estimated avoided costs of epidemiological investigations</w:t>
            </w:r>
          </w:p>
          <w:p w:rsidR="00ED435E" w:rsidRPr="0074168D" w:rsidRDefault="00ED435E" w:rsidP="00534B55">
            <w:pPr>
              <w:spacing w:line="276" w:lineRule="auto"/>
              <w:rPr>
                <w:rFonts w:ascii="Times New Roman" w:hAnsi="Times New Roman" w:cs="Times New Roman"/>
              </w:rPr>
            </w:pPr>
          </w:p>
        </w:tc>
        <w:tc>
          <w:tcPr>
            <w:tcW w:w="4293" w:type="dxa"/>
            <w:tcBorders>
              <w:top w:val="single" w:sz="2" w:space="0" w:color="034EA2"/>
              <w:left w:val="single" w:sz="2" w:space="0" w:color="034EA2"/>
              <w:bottom w:val="single" w:sz="2" w:space="0" w:color="034EA2"/>
              <w:right w:val="single" w:sz="2" w:space="0" w:color="034EA2"/>
            </w:tcBorders>
            <w:shd w:val="clear" w:color="auto" w:fill="auto"/>
            <w:tcMar>
              <w:top w:w="15" w:type="dxa"/>
              <w:left w:w="56" w:type="dxa"/>
              <w:bottom w:w="0" w:type="dxa"/>
              <w:right w:w="56" w:type="dxa"/>
            </w:tcMar>
          </w:tcPr>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Estimated differences in mortality</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Estimated impact of public health interventions based on use of genomic data</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Estimated differences in costs of epidemiological investigations</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Estimated avoided costs to the health care system</w:t>
            </w:r>
          </w:p>
          <w:p w:rsidR="00ED435E" w:rsidRPr="0074168D" w:rsidRDefault="00ED435E" w:rsidP="00ED435E">
            <w:pPr>
              <w:pStyle w:val="ListParagraph"/>
              <w:numPr>
                <w:ilvl w:val="0"/>
                <w:numId w:val="11"/>
              </w:numPr>
              <w:spacing w:line="276" w:lineRule="auto"/>
              <w:rPr>
                <w:rFonts w:ascii="Times New Roman" w:hAnsi="Times New Roman" w:cs="Times New Roman"/>
              </w:rPr>
            </w:pPr>
            <w:r w:rsidRPr="0074168D">
              <w:rPr>
                <w:rFonts w:ascii="Times New Roman" w:hAnsi="Times New Roman" w:cs="Times New Roman"/>
              </w:rPr>
              <w:t>Number of isolates contributed to international databases</w:t>
            </w:r>
          </w:p>
        </w:tc>
      </w:tr>
    </w:tbl>
    <w:p w:rsidR="00ED435E" w:rsidRDefault="00ED435E" w:rsidP="00ED435E">
      <w:pPr>
        <w:sectPr w:rsidR="00ED435E" w:rsidSect="00462B27">
          <w:pgSz w:w="15840" w:h="12240" w:orient="landscape"/>
          <w:pgMar w:top="1440" w:right="1440" w:bottom="1440" w:left="1440" w:header="706" w:footer="706" w:gutter="0"/>
          <w:cols w:space="708"/>
          <w:docGrid w:linePitch="360"/>
        </w:sectPr>
      </w:pPr>
    </w:p>
    <w:p w:rsidR="00DA36DF" w:rsidRDefault="00DA36DF"/>
    <w:sectPr w:rsidR="00DA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D27"/>
    <w:multiLevelType w:val="hybridMultilevel"/>
    <w:tmpl w:val="C33C5B8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C902762"/>
    <w:multiLevelType w:val="hybridMultilevel"/>
    <w:tmpl w:val="F38CDC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8DC5840"/>
    <w:multiLevelType w:val="hybridMultilevel"/>
    <w:tmpl w:val="BDE0B0A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56A1A36"/>
    <w:multiLevelType w:val="hybridMultilevel"/>
    <w:tmpl w:val="5EDCAA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76A491D"/>
    <w:multiLevelType w:val="hybridMultilevel"/>
    <w:tmpl w:val="D2B27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3A715170"/>
    <w:multiLevelType w:val="hybridMultilevel"/>
    <w:tmpl w:val="F202C77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404A111D"/>
    <w:multiLevelType w:val="hybridMultilevel"/>
    <w:tmpl w:val="90A0F2CC"/>
    <w:lvl w:ilvl="0" w:tplc="83EA0F6A">
      <w:start w:val="1"/>
      <w:numFmt w:val="bullet"/>
      <w:lvlText w:val="û"/>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42341736"/>
    <w:multiLevelType w:val="hybridMultilevel"/>
    <w:tmpl w:val="16D2B57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3137E4A"/>
    <w:multiLevelType w:val="hybridMultilevel"/>
    <w:tmpl w:val="4048553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43887CAB"/>
    <w:multiLevelType w:val="hybridMultilevel"/>
    <w:tmpl w:val="DF0A163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2874550"/>
    <w:multiLevelType w:val="hybridMultilevel"/>
    <w:tmpl w:val="7068E9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536762A9"/>
    <w:multiLevelType w:val="hybridMultilevel"/>
    <w:tmpl w:val="87986A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B4E0DE8"/>
    <w:multiLevelType w:val="hybridMultilevel"/>
    <w:tmpl w:val="6D942A2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69B932C2"/>
    <w:multiLevelType w:val="hybridMultilevel"/>
    <w:tmpl w:val="45E0F7E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6E5467B7"/>
    <w:multiLevelType w:val="hybridMultilevel"/>
    <w:tmpl w:val="344230D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79322A9"/>
    <w:multiLevelType w:val="hybridMultilevel"/>
    <w:tmpl w:val="DD1CF958"/>
    <w:lvl w:ilvl="0" w:tplc="83EA0F6A">
      <w:start w:val="1"/>
      <w:numFmt w:val="bullet"/>
      <w:lvlText w:val="û"/>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78C57BA4"/>
    <w:multiLevelType w:val="hybridMultilevel"/>
    <w:tmpl w:val="E63AC9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0"/>
  </w:num>
  <w:num w:numId="4">
    <w:abstractNumId w:val="16"/>
  </w:num>
  <w:num w:numId="5">
    <w:abstractNumId w:val="6"/>
  </w:num>
  <w:num w:numId="6">
    <w:abstractNumId w:val="2"/>
  </w:num>
  <w:num w:numId="7">
    <w:abstractNumId w:val="0"/>
  </w:num>
  <w:num w:numId="8">
    <w:abstractNumId w:val="15"/>
  </w:num>
  <w:num w:numId="9">
    <w:abstractNumId w:val="14"/>
  </w:num>
  <w:num w:numId="10">
    <w:abstractNumId w:val="8"/>
  </w:num>
  <w:num w:numId="11">
    <w:abstractNumId w:val="1"/>
  </w:num>
  <w:num w:numId="12">
    <w:abstractNumId w:val="3"/>
  </w:num>
  <w:num w:numId="13">
    <w:abstractNumId w:val="11"/>
  </w:num>
  <w:num w:numId="14">
    <w:abstractNumId w:val="4"/>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5E"/>
    <w:rsid w:val="00DA36DF"/>
    <w:rsid w:val="00ED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90710-49B6-4220-9775-0C34D075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5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ED435E"/>
    <w:pPr>
      <w:spacing w:after="0"/>
      <w:ind w:left="720"/>
      <w:contextualSpacing/>
    </w:pPr>
  </w:style>
  <w:style w:type="table" w:styleId="TableGrid">
    <w:name w:val="Table Grid"/>
    <w:basedOn w:val="TableNormal"/>
    <w:uiPriority w:val="39"/>
    <w:rsid w:val="00ED435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ndNoteBibliography">
    <w:name w:val="EndNote Bibliography"/>
    <w:basedOn w:val="Normal"/>
    <w:link w:val="EndNoteBibliographyChar"/>
    <w:rsid w:val="00ED43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D435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2008</Words>
  <Characters>11450</Characters>
  <Application>Microsoft Office Word</Application>
  <DocSecurity>0</DocSecurity>
  <Lines>95</Lines>
  <Paragraphs>26</Paragraphs>
  <ScaleCrop>false</ScaleCrop>
  <Company>Springer Nature</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2020-11-13T10:29:00Z</dcterms:created>
  <dcterms:modified xsi:type="dcterms:W3CDTF">2020-11-13T10:29:00Z</dcterms:modified>
</cp:coreProperties>
</file>