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DD35" w14:textId="5479257B" w:rsidR="00DF7FDC" w:rsidRDefault="00B804C0" w:rsidP="00B804C0">
      <w:pPr>
        <w:jc w:val="center"/>
        <w:rPr>
          <w:b/>
          <w:bCs/>
          <w:lang w:val="en-US"/>
        </w:rPr>
      </w:pPr>
      <w:r w:rsidRPr="00B804C0">
        <w:rPr>
          <w:b/>
          <w:bCs/>
          <w:lang w:val="en-US"/>
        </w:rPr>
        <w:t>Supplementary material</w:t>
      </w:r>
    </w:p>
    <w:p w14:paraId="469FB2A1" w14:textId="77777777" w:rsidR="00B804C0" w:rsidRDefault="00B804C0" w:rsidP="00B804C0">
      <w:pPr>
        <w:jc w:val="center"/>
        <w:rPr>
          <w:b/>
          <w:bCs/>
          <w:lang w:val="en-US"/>
        </w:rPr>
      </w:pPr>
    </w:p>
    <w:p w14:paraId="53FB21BF" w14:textId="644A8DC0" w:rsidR="00B804C0" w:rsidRDefault="00B804C0" w:rsidP="00B804C0">
      <w:pPr>
        <w:jc w:val="center"/>
        <w:rPr>
          <w:b/>
          <w:bCs/>
          <w:lang w:val="en-US"/>
        </w:rPr>
      </w:pPr>
    </w:p>
    <w:p w14:paraId="1B2CF823" w14:textId="27381415" w:rsidR="00B804C0" w:rsidRDefault="00B804C0" w:rsidP="00B804C0">
      <w:pPr>
        <w:jc w:val="center"/>
        <w:rPr>
          <w:b/>
          <w:bCs/>
          <w:lang w:val="en-US"/>
        </w:rPr>
      </w:pPr>
    </w:p>
    <w:p w14:paraId="2D673A67" w14:textId="0241B8A4" w:rsidR="00B804C0" w:rsidRDefault="00B804C0" w:rsidP="00B804C0">
      <w:pPr>
        <w:jc w:val="both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56BBEB6B" wp14:editId="73141F58">
            <wp:extent cx="5396230" cy="1558290"/>
            <wp:effectExtent l="0" t="0" r="127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52905" w14:textId="395E81CE" w:rsidR="00B804C0" w:rsidRDefault="00B804C0" w:rsidP="00B804C0">
      <w:pPr>
        <w:jc w:val="both"/>
        <w:rPr>
          <w:rFonts w:ascii="Arial" w:hAnsi="Arial" w:cs="Arial"/>
          <w:lang w:val="en-US"/>
        </w:rPr>
      </w:pPr>
      <w:proofErr w:type="spellStart"/>
      <w:r w:rsidRPr="002F17D9">
        <w:rPr>
          <w:rFonts w:ascii="Arial" w:hAnsi="Arial" w:cs="Arial"/>
          <w:b/>
          <w:bCs/>
          <w:lang w:val="en-US"/>
        </w:rPr>
        <w:t>sFigure</w:t>
      </w:r>
      <w:proofErr w:type="spellEnd"/>
      <w:r w:rsidRPr="002F17D9">
        <w:rPr>
          <w:rFonts w:ascii="Arial" w:hAnsi="Arial" w:cs="Arial"/>
          <w:b/>
          <w:bCs/>
          <w:lang w:val="en-US"/>
        </w:rPr>
        <w:t xml:space="preserve"> 1. </w:t>
      </w:r>
      <w:r w:rsidRPr="00B804C0">
        <w:rPr>
          <w:rFonts w:ascii="Arial" w:hAnsi="Arial" w:cs="Arial"/>
          <w:lang w:val="en-US"/>
        </w:rPr>
        <w:t xml:space="preserve">Overall and disease-free survival of patients </w:t>
      </w:r>
      <w:r w:rsidR="00211ED8">
        <w:rPr>
          <w:rFonts w:ascii="Arial" w:hAnsi="Arial" w:cs="Arial"/>
          <w:lang w:val="en-US"/>
        </w:rPr>
        <w:t xml:space="preserve">with hepatocellular carcinoma </w:t>
      </w:r>
      <w:r w:rsidRPr="00B804C0">
        <w:rPr>
          <w:rFonts w:ascii="Arial" w:hAnsi="Arial" w:cs="Arial"/>
          <w:lang w:val="en-US"/>
        </w:rPr>
        <w:t>included in the study</w:t>
      </w:r>
      <w:r w:rsidR="002F17D9">
        <w:rPr>
          <w:rFonts w:ascii="Arial" w:hAnsi="Arial" w:cs="Arial"/>
          <w:lang w:val="en-US"/>
        </w:rPr>
        <w:t xml:space="preserve"> (N=161)</w:t>
      </w:r>
    </w:p>
    <w:p w14:paraId="46E53E96" w14:textId="639ED815" w:rsidR="00211ED8" w:rsidRDefault="00211ED8" w:rsidP="00B804C0">
      <w:pPr>
        <w:jc w:val="both"/>
        <w:rPr>
          <w:rFonts w:ascii="Arial" w:hAnsi="Arial" w:cs="Arial"/>
          <w:lang w:val="en-US"/>
        </w:rPr>
      </w:pPr>
    </w:p>
    <w:p w14:paraId="6FF7812D" w14:textId="23F6871D" w:rsidR="00211ED8" w:rsidRDefault="00211ED8" w:rsidP="00B804C0">
      <w:pPr>
        <w:jc w:val="both"/>
        <w:rPr>
          <w:rFonts w:ascii="Arial" w:hAnsi="Arial" w:cs="Arial"/>
          <w:lang w:val="en-US"/>
        </w:rPr>
      </w:pPr>
    </w:p>
    <w:p w14:paraId="43AA2E63" w14:textId="77777777" w:rsidR="003C0848" w:rsidRDefault="003C0848" w:rsidP="00B804C0">
      <w:pPr>
        <w:jc w:val="both"/>
        <w:rPr>
          <w:rFonts w:ascii="Arial" w:hAnsi="Arial" w:cs="Arial"/>
          <w:lang w:val="en-US"/>
        </w:rPr>
      </w:pPr>
    </w:p>
    <w:p w14:paraId="36E717CC" w14:textId="77777777" w:rsidR="00211ED8" w:rsidRDefault="00211ED8" w:rsidP="00B804C0">
      <w:pPr>
        <w:jc w:val="both"/>
        <w:rPr>
          <w:rFonts w:ascii="Arial" w:hAnsi="Arial" w:cs="Arial"/>
          <w:lang w:val="en-US"/>
        </w:rPr>
      </w:pPr>
    </w:p>
    <w:p w14:paraId="12059991" w14:textId="02055C3F" w:rsidR="00211ED8" w:rsidRPr="00211ED8" w:rsidRDefault="00211ED8" w:rsidP="00211ED8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proofErr w:type="spellStart"/>
      <w:r w:rsidRPr="00322BE6">
        <w:rPr>
          <w:rFonts w:ascii="Arial" w:hAnsi="Arial" w:cs="Arial"/>
          <w:b/>
          <w:color w:val="000000" w:themeColor="text1"/>
          <w:lang w:val="en-US"/>
        </w:rPr>
        <w:t>sTable</w:t>
      </w:r>
      <w:proofErr w:type="spellEnd"/>
      <w:r w:rsidRPr="00322BE6">
        <w:rPr>
          <w:rFonts w:ascii="Arial" w:hAnsi="Arial" w:cs="Arial"/>
          <w:b/>
          <w:color w:val="000000" w:themeColor="text1"/>
          <w:lang w:val="en-US"/>
        </w:rPr>
        <w:t xml:space="preserve"> 1.</w:t>
      </w:r>
      <w:r w:rsidRPr="00322BE6">
        <w:rPr>
          <w:rFonts w:ascii="Arial" w:hAnsi="Arial" w:cs="Arial"/>
          <w:color w:val="000000" w:themeColor="text1"/>
          <w:lang w:val="en-US"/>
        </w:rPr>
        <w:t xml:space="preserve"> </w:t>
      </w:r>
      <w:r w:rsidRPr="00211ED8">
        <w:rPr>
          <w:rFonts w:ascii="Arial" w:hAnsi="Arial" w:cs="Arial"/>
          <w:bCs/>
          <w:lang w:val="en-US"/>
        </w:rPr>
        <w:t xml:space="preserve">Baseline characteristics of patients with low </w:t>
      </w:r>
      <w:r w:rsidRPr="00211ED8">
        <w:rPr>
          <w:rFonts w:ascii="Arial" w:hAnsi="Arial" w:cs="Arial"/>
          <w:color w:val="000000" w:themeColor="text1"/>
          <w:lang w:val="en-US"/>
        </w:rPr>
        <w:t>(</w:t>
      </w:r>
      <w:r w:rsidRPr="00211ED8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≤ </w:t>
      </w:r>
      <w:r w:rsidRPr="00211ED8">
        <w:rPr>
          <w:rFonts w:ascii="Arial" w:hAnsi="Arial" w:cs="Arial"/>
          <w:color w:val="000000" w:themeColor="text1"/>
          <w:lang w:val="en-US"/>
        </w:rPr>
        <w:t xml:space="preserve">1.715) </w:t>
      </w:r>
      <w:r>
        <w:rPr>
          <w:rFonts w:ascii="Arial" w:hAnsi="Arial" w:cs="Arial"/>
          <w:color w:val="000000" w:themeColor="text1"/>
          <w:lang w:val="en-US"/>
        </w:rPr>
        <w:t xml:space="preserve">and </w:t>
      </w:r>
      <w:r w:rsidRPr="00211ED8">
        <w:rPr>
          <w:rFonts w:ascii="Arial" w:hAnsi="Arial" w:cs="Arial"/>
          <w:bCs/>
          <w:lang w:val="en-US"/>
        </w:rPr>
        <w:t xml:space="preserve">high </w:t>
      </w:r>
      <w:r w:rsidRPr="00211ED8">
        <w:rPr>
          <w:rFonts w:ascii="Arial" w:hAnsi="Arial" w:cs="Arial"/>
          <w:color w:val="000000" w:themeColor="text1"/>
          <w:lang w:val="en-US"/>
        </w:rPr>
        <w:t>(&gt; 1.715) neutrophil-to-lymphocyte ratio</w:t>
      </w:r>
      <w:r>
        <w:rPr>
          <w:rFonts w:ascii="Arial" w:hAnsi="Arial" w:cs="Arial"/>
          <w:color w:val="000000" w:themeColor="text1"/>
          <w:lang w:val="en-US"/>
        </w:rPr>
        <w:t xml:space="preserve"> (NLR)</w:t>
      </w:r>
    </w:p>
    <w:tbl>
      <w:tblPr>
        <w:tblStyle w:val="SimplesTabela2"/>
        <w:tblW w:w="4942" w:type="pct"/>
        <w:tblInd w:w="-108" w:type="dxa"/>
        <w:tblLayout w:type="fixed"/>
        <w:tblLook w:val="04A0" w:firstRow="1" w:lastRow="0" w:firstColumn="1" w:lastColumn="0" w:noHBand="0" w:noVBand="1"/>
      </w:tblPr>
      <w:tblGrid>
        <w:gridCol w:w="3794"/>
        <w:gridCol w:w="1702"/>
        <w:gridCol w:w="1843"/>
        <w:gridCol w:w="1060"/>
      </w:tblGrid>
      <w:tr w:rsidR="00211ED8" w:rsidRPr="003B6E1F" w14:paraId="0E0CDBBC" w14:textId="77777777" w:rsidTr="003C0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pct"/>
            <w:tcBorders>
              <w:top w:val="single" w:sz="4" w:space="0" w:color="7F7F7F" w:themeColor="text1" w:themeTint="80"/>
              <w:bottom w:val="nil"/>
            </w:tcBorders>
            <w:noWrap/>
          </w:tcPr>
          <w:p w14:paraId="7BE117FA" w14:textId="77777777" w:rsidR="00211ED8" w:rsidRPr="003B6E1F" w:rsidRDefault="00211ED8" w:rsidP="003B6E1F">
            <w:pPr>
              <w:spacing w:before="80" w:after="80"/>
              <w:contextualSpacing/>
              <w:rPr>
                <w:rFonts w:ascii="Arial" w:eastAsia="MS Mincho" w:hAnsi="Arial" w:cs="Arial"/>
                <w:b w:val="0"/>
                <w:bCs w:val="0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109" w:type="pct"/>
            <w:gridSpan w:val="2"/>
            <w:tcBorders>
              <w:top w:val="single" w:sz="4" w:space="0" w:color="7F7F7F" w:themeColor="text1" w:themeTint="80"/>
              <w:bottom w:val="nil"/>
            </w:tcBorders>
            <w:noWrap/>
          </w:tcPr>
          <w:p w14:paraId="0561DCE4" w14:textId="6CE807CD" w:rsidR="00211ED8" w:rsidRPr="003B6E1F" w:rsidRDefault="000E51D0" w:rsidP="003B6E1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N</w:t>
            </w:r>
            <w:r w:rsidR="00211ED8" w:rsidRPr="003B6E1F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LR</w:t>
            </w:r>
          </w:p>
        </w:tc>
        <w:tc>
          <w:tcPr>
            <w:tcW w:w="632" w:type="pct"/>
            <w:tcBorders>
              <w:top w:val="single" w:sz="4" w:space="0" w:color="7F7F7F" w:themeColor="text1" w:themeTint="80"/>
              <w:bottom w:val="nil"/>
            </w:tcBorders>
          </w:tcPr>
          <w:p w14:paraId="1663CF1A" w14:textId="77777777" w:rsidR="00211ED8" w:rsidRPr="003B6E1F" w:rsidRDefault="00211ED8" w:rsidP="003B6E1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1563" w:rsidRPr="003B6E1F" w14:paraId="77AA13B1" w14:textId="77777777" w:rsidTr="001D1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pct"/>
            <w:tcBorders>
              <w:top w:val="nil"/>
            </w:tcBorders>
            <w:noWrap/>
          </w:tcPr>
          <w:p w14:paraId="1E56731F" w14:textId="77777777" w:rsidR="00211ED8" w:rsidRPr="003B6E1F" w:rsidRDefault="00211ED8" w:rsidP="003B6E1F">
            <w:pPr>
              <w:spacing w:before="80" w:after="80"/>
              <w:contextualSpacing/>
              <w:rPr>
                <w:rFonts w:ascii="Arial" w:eastAsia="MS Mincho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013" w:type="pct"/>
            <w:tcBorders>
              <w:top w:val="nil"/>
            </w:tcBorders>
            <w:noWrap/>
          </w:tcPr>
          <w:p w14:paraId="758B2C19" w14:textId="3EAE78BD" w:rsidR="00211ED8" w:rsidRPr="003B6E1F" w:rsidRDefault="00211ED8" w:rsidP="003B6E1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3B6E1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≤</w:t>
            </w:r>
            <w:r w:rsidR="003B6E1F" w:rsidRPr="003B6E1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3B6E1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1</w:t>
            </w:r>
            <w:r w:rsidR="003B6E1F" w:rsidRPr="003B6E1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.</w:t>
            </w:r>
            <w:r w:rsidRPr="003B6E1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715</w:t>
            </w:r>
          </w:p>
        </w:tc>
        <w:tc>
          <w:tcPr>
            <w:tcW w:w="1097" w:type="pct"/>
            <w:tcBorders>
              <w:top w:val="nil"/>
            </w:tcBorders>
            <w:noWrap/>
          </w:tcPr>
          <w:p w14:paraId="7727B1FD" w14:textId="7FEBE656" w:rsidR="00211ED8" w:rsidRPr="003B6E1F" w:rsidRDefault="00211ED8" w:rsidP="003B6E1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3B6E1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&gt;</w:t>
            </w:r>
            <w:r w:rsidR="003B6E1F" w:rsidRPr="003B6E1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3B6E1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1</w:t>
            </w:r>
            <w:r w:rsidR="003B6E1F" w:rsidRPr="003B6E1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.</w:t>
            </w:r>
            <w:r w:rsidRPr="003B6E1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715</w:t>
            </w:r>
          </w:p>
        </w:tc>
        <w:tc>
          <w:tcPr>
            <w:tcW w:w="632" w:type="pct"/>
            <w:tcBorders>
              <w:top w:val="nil"/>
            </w:tcBorders>
          </w:tcPr>
          <w:p w14:paraId="48E4414D" w14:textId="6CF4F68F" w:rsidR="00211ED8" w:rsidRPr="003B6E1F" w:rsidRDefault="00211ED8" w:rsidP="003B6E1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3B6E1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</w:p>
        </w:tc>
      </w:tr>
      <w:tr w:rsidR="001D1563" w:rsidRPr="003B6E1F" w14:paraId="6B820650" w14:textId="77777777" w:rsidTr="001D156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pct"/>
            <w:noWrap/>
          </w:tcPr>
          <w:p w14:paraId="52C25CA5" w14:textId="5DCA9FCE" w:rsidR="00211ED8" w:rsidRPr="003B6E1F" w:rsidRDefault="003B6E1F" w:rsidP="003B6E1F">
            <w:pPr>
              <w:spacing w:before="80" w:after="80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Age</w:t>
            </w:r>
            <w:r w:rsidR="00211ED8" w:rsidRPr="003B6E1F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Pr="003B6E1F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years</w:t>
            </w:r>
            <w:r w:rsidR="00211ED8" w:rsidRPr="003B6E1F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  <w:p w14:paraId="36AC3D3F" w14:textId="77777777" w:rsidR="003B6E1F" w:rsidRPr="003B6E1F" w:rsidRDefault="003B6E1F" w:rsidP="003B6E1F">
            <w:pPr>
              <w:spacing w:before="80" w:after="80"/>
              <w:ind w:left="720"/>
              <w:contextualSpacing/>
              <w:rPr>
                <w:rFonts w:ascii="Arial" w:eastAsia="MS Mincho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mean ± SD</w:t>
            </w:r>
          </w:p>
          <w:p w14:paraId="27B67281" w14:textId="08B668B7" w:rsidR="00211ED8" w:rsidRPr="003B6E1F" w:rsidRDefault="003B6E1F" w:rsidP="003B6E1F">
            <w:pPr>
              <w:ind w:firstLine="709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median (min-max)</w:t>
            </w:r>
          </w:p>
        </w:tc>
        <w:tc>
          <w:tcPr>
            <w:tcW w:w="1013" w:type="pct"/>
            <w:noWrap/>
          </w:tcPr>
          <w:p w14:paraId="1D537D48" w14:textId="77777777" w:rsidR="00211ED8" w:rsidRPr="003879B1" w:rsidRDefault="00211ED8" w:rsidP="003B6E1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6F9F266" w14:textId="77777777" w:rsidR="00211ED8" w:rsidRPr="003879B1" w:rsidRDefault="00211ED8" w:rsidP="003B6E1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879B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61 ± 9</w:t>
            </w:r>
          </w:p>
          <w:p w14:paraId="5DD4F238" w14:textId="12F4CB37" w:rsidR="00211ED8" w:rsidRPr="003879B1" w:rsidRDefault="003879B1" w:rsidP="003B6E1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879B1">
              <w:rPr>
                <w:rFonts w:ascii="Arial" w:hAnsi="Arial" w:cs="Arial"/>
                <w:color w:val="000000" w:themeColor="text1"/>
                <w:sz w:val="20"/>
                <w:szCs w:val="20"/>
              </w:rPr>
              <w:t>63 (18-79)</w:t>
            </w:r>
          </w:p>
        </w:tc>
        <w:tc>
          <w:tcPr>
            <w:tcW w:w="1097" w:type="pct"/>
            <w:noWrap/>
          </w:tcPr>
          <w:p w14:paraId="4D5D2CE7" w14:textId="77777777" w:rsidR="00211ED8" w:rsidRPr="003879B1" w:rsidRDefault="00211ED8" w:rsidP="003B6E1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A907C9A" w14:textId="77777777" w:rsidR="00211ED8" w:rsidRPr="003879B1" w:rsidRDefault="00211ED8" w:rsidP="003B6E1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879B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63 ± 12</w:t>
            </w:r>
          </w:p>
          <w:p w14:paraId="6408DBE3" w14:textId="4BEC81A0" w:rsidR="00211ED8" w:rsidRPr="003879B1" w:rsidRDefault="003879B1" w:rsidP="003B6E1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879B1">
              <w:rPr>
                <w:rFonts w:ascii="Arial" w:hAnsi="Arial" w:cs="Arial"/>
                <w:color w:val="000000" w:themeColor="text1"/>
                <w:sz w:val="20"/>
                <w:szCs w:val="20"/>
              </w:rPr>
              <w:t>64 (20-86)</w:t>
            </w:r>
          </w:p>
        </w:tc>
        <w:tc>
          <w:tcPr>
            <w:tcW w:w="632" w:type="pct"/>
          </w:tcPr>
          <w:p w14:paraId="42E8794B" w14:textId="3A325CF1" w:rsidR="00211ED8" w:rsidRPr="003B6E1F" w:rsidRDefault="00211ED8" w:rsidP="003B6E1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3879B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B6E1F">
              <w:rPr>
                <w:rFonts w:ascii="Arial" w:hAnsi="Arial" w:cs="Arial"/>
                <w:sz w:val="20"/>
                <w:szCs w:val="20"/>
                <w:lang w:val="en-US"/>
              </w:rPr>
              <w:t>209</w:t>
            </w:r>
          </w:p>
        </w:tc>
      </w:tr>
      <w:tr w:rsidR="001D1563" w:rsidRPr="003B6E1F" w14:paraId="084AD161" w14:textId="77777777" w:rsidTr="001D1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pct"/>
            <w:noWrap/>
            <w:hideMark/>
          </w:tcPr>
          <w:p w14:paraId="6C5E9948" w14:textId="77777777" w:rsidR="003B6E1F" w:rsidRPr="003B6E1F" w:rsidRDefault="003B6E1F" w:rsidP="003B6E1F">
            <w:pPr>
              <w:spacing w:before="80" w:after="80"/>
              <w:contextualSpacing/>
              <w:rPr>
                <w:rFonts w:ascii="Arial" w:eastAsia="MS Mincho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Gender (%)</w:t>
            </w:r>
          </w:p>
          <w:p w14:paraId="042B5612" w14:textId="77777777" w:rsidR="003B6E1F" w:rsidRPr="003B6E1F" w:rsidRDefault="003B6E1F" w:rsidP="003B6E1F">
            <w:pPr>
              <w:spacing w:before="80" w:after="80"/>
              <w:ind w:left="720"/>
              <w:contextualSpacing/>
              <w:rPr>
                <w:rFonts w:ascii="Arial" w:eastAsia="MS Mincho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  <w:p w14:paraId="0959685E" w14:textId="0D91AE35" w:rsidR="00211ED8" w:rsidRPr="003B6E1F" w:rsidRDefault="003B6E1F" w:rsidP="003B6E1F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13" w:type="pct"/>
            <w:noWrap/>
            <w:hideMark/>
          </w:tcPr>
          <w:p w14:paraId="46058902" w14:textId="77777777" w:rsidR="00211ED8" w:rsidRPr="003B6E1F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D65E7AB" w14:textId="26D6E44E" w:rsidR="00211ED8" w:rsidRPr="003B6E1F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39 (60</w:t>
            </w:r>
            <w:r w:rsidR="003879B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9%)</w:t>
            </w:r>
          </w:p>
          <w:p w14:paraId="29757213" w14:textId="53A16E68" w:rsidR="00211ED8" w:rsidRPr="003B6E1F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 (39</w:t>
            </w:r>
            <w:r w:rsidR="003879B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1%)</w:t>
            </w:r>
          </w:p>
        </w:tc>
        <w:tc>
          <w:tcPr>
            <w:tcW w:w="1097" w:type="pct"/>
            <w:noWrap/>
            <w:hideMark/>
          </w:tcPr>
          <w:p w14:paraId="19A60C69" w14:textId="77777777" w:rsidR="00211ED8" w:rsidRPr="003B6E1F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1236D2E4" w14:textId="15E5A213" w:rsidR="00211ED8" w:rsidRPr="003B6E1F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69 (71</w:t>
            </w:r>
            <w:r w:rsidR="003879B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1%) </w:t>
            </w:r>
          </w:p>
          <w:p w14:paraId="5C4537E3" w14:textId="5A353D75" w:rsidR="00211ED8" w:rsidRPr="003B6E1F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 (28</w:t>
            </w:r>
            <w:r w:rsidR="003879B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9%)</w:t>
            </w:r>
          </w:p>
        </w:tc>
        <w:tc>
          <w:tcPr>
            <w:tcW w:w="632" w:type="pct"/>
          </w:tcPr>
          <w:p w14:paraId="667DEF1B" w14:textId="4411447C" w:rsidR="00211ED8" w:rsidRPr="003B6E1F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3879B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230</w:t>
            </w:r>
          </w:p>
        </w:tc>
      </w:tr>
      <w:tr w:rsidR="001D1563" w:rsidRPr="003B6E1F" w14:paraId="4F7AC80A" w14:textId="77777777" w:rsidTr="001D156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pct"/>
            <w:noWrap/>
            <w:hideMark/>
          </w:tcPr>
          <w:p w14:paraId="394F1F4D" w14:textId="3FB22C5C" w:rsidR="00211ED8" w:rsidRPr="003B6E1F" w:rsidRDefault="000B24F0" w:rsidP="003B6E1F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Cirrhosis</w:t>
            </w:r>
            <w:r w:rsidR="00211ED8"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(%)</w:t>
            </w:r>
          </w:p>
          <w:p w14:paraId="2B709521" w14:textId="2C15D27B" w:rsidR="00211ED8" w:rsidRPr="003B6E1F" w:rsidRDefault="000B24F0" w:rsidP="003B6E1F">
            <w:pPr>
              <w:ind w:left="708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  <w:p w14:paraId="1915E9C2" w14:textId="594F99EF" w:rsidR="00211ED8" w:rsidRPr="003B6E1F" w:rsidRDefault="000B24F0" w:rsidP="003B6E1F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013" w:type="pct"/>
            <w:noWrap/>
            <w:hideMark/>
          </w:tcPr>
          <w:p w14:paraId="78B577FD" w14:textId="77777777" w:rsidR="00211ED8" w:rsidRPr="003B6E1F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4C90DCF" w14:textId="1BEA47A0" w:rsidR="00211ED8" w:rsidRPr="003B6E1F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 (7</w:t>
            </w:r>
            <w:r w:rsidR="003879B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8%)</w:t>
            </w:r>
          </w:p>
          <w:p w14:paraId="1023A36E" w14:textId="480AC95F" w:rsidR="00211ED8" w:rsidRPr="003B6E1F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59 (92</w:t>
            </w:r>
            <w:r w:rsidR="003879B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2%)</w:t>
            </w:r>
          </w:p>
        </w:tc>
        <w:tc>
          <w:tcPr>
            <w:tcW w:w="1097" w:type="pct"/>
            <w:noWrap/>
            <w:hideMark/>
          </w:tcPr>
          <w:p w14:paraId="424175A6" w14:textId="77777777" w:rsidR="00211ED8" w:rsidRPr="003B6E1F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44B2E1B" w14:textId="74B67886" w:rsidR="00211ED8" w:rsidRPr="003B6E1F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 (15</w:t>
            </w:r>
            <w:r w:rsidR="003879B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4%)</w:t>
            </w:r>
          </w:p>
          <w:p w14:paraId="3334A29E" w14:textId="3E6C49DA" w:rsidR="00211ED8" w:rsidRPr="003B6E1F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82 (50</w:t>
            </w:r>
            <w:r w:rsidR="003879B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6%)</w:t>
            </w:r>
          </w:p>
        </w:tc>
        <w:tc>
          <w:tcPr>
            <w:tcW w:w="632" w:type="pct"/>
          </w:tcPr>
          <w:p w14:paraId="054F54F4" w14:textId="0A268D5E" w:rsidR="00211ED8" w:rsidRPr="003B6E1F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3879B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122</w:t>
            </w:r>
          </w:p>
        </w:tc>
      </w:tr>
      <w:tr w:rsidR="001D1563" w:rsidRPr="003B6E1F" w14:paraId="2890885F" w14:textId="77777777" w:rsidTr="001D1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pct"/>
            <w:noWrap/>
            <w:hideMark/>
          </w:tcPr>
          <w:p w14:paraId="345918B3" w14:textId="2D07F7D4" w:rsidR="00211ED8" w:rsidRPr="003B6E1F" w:rsidRDefault="000B24F0" w:rsidP="003B6E1F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Portal </w:t>
            </w:r>
            <w:r w:rsidR="002D02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hypertension</w:t>
            </w:r>
            <w:r w:rsidR="00211ED8"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(%)</w:t>
            </w:r>
          </w:p>
          <w:p w14:paraId="59156889" w14:textId="592F8E6E" w:rsidR="00211ED8" w:rsidRPr="003B6E1F" w:rsidRDefault="003879B1" w:rsidP="003B6E1F">
            <w:pPr>
              <w:ind w:left="708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  <w:p w14:paraId="255843FC" w14:textId="516E4AF6" w:rsidR="00211ED8" w:rsidRPr="003B6E1F" w:rsidRDefault="003879B1" w:rsidP="003B6E1F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013" w:type="pct"/>
            <w:noWrap/>
            <w:hideMark/>
          </w:tcPr>
          <w:p w14:paraId="4634E9D2" w14:textId="77777777" w:rsidR="00211ED8" w:rsidRPr="003B6E1F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32C415B6" w14:textId="77777777" w:rsidR="003879B1" w:rsidRPr="003B6E1F" w:rsidRDefault="003879B1" w:rsidP="00387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 (53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1%)</w:t>
            </w:r>
          </w:p>
          <w:p w14:paraId="15EA3306" w14:textId="0F3E9A2F" w:rsidR="00211ED8" w:rsidRPr="003B6E1F" w:rsidRDefault="003879B1" w:rsidP="00387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 (46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9%)</w:t>
            </w:r>
          </w:p>
        </w:tc>
        <w:tc>
          <w:tcPr>
            <w:tcW w:w="1097" w:type="pct"/>
            <w:noWrap/>
            <w:hideMark/>
          </w:tcPr>
          <w:p w14:paraId="54B42CF1" w14:textId="77777777" w:rsidR="00211ED8" w:rsidRPr="003B6E1F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65733C8" w14:textId="4874F232" w:rsidR="003879B1" w:rsidRDefault="003879B1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49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%)</w:t>
            </w:r>
          </w:p>
          <w:p w14:paraId="1DD20EDA" w14:textId="6FADB63E" w:rsidR="00211ED8" w:rsidRPr="003B6E1F" w:rsidRDefault="00211ED8" w:rsidP="00387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48 (49</w:t>
            </w:r>
            <w:r w:rsidR="003879B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5%)</w:t>
            </w:r>
          </w:p>
        </w:tc>
        <w:tc>
          <w:tcPr>
            <w:tcW w:w="632" w:type="pct"/>
          </w:tcPr>
          <w:p w14:paraId="1E908023" w14:textId="109A7436" w:rsidR="00211ED8" w:rsidRPr="003B6E1F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3879B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748</w:t>
            </w:r>
          </w:p>
        </w:tc>
      </w:tr>
      <w:tr w:rsidR="001D1563" w:rsidRPr="003B6E1F" w14:paraId="5909BCEB" w14:textId="77777777" w:rsidTr="001D156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pct"/>
            <w:noWrap/>
          </w:tcPr>
          <w:p w14:paraId="4BCC6D31" w14:textId="456ACC0B" w:rsidR="00211ED8" w:rsidRPr="003B6E1F" w:rsidRDefault="003879B1" w:rsidP="003B6E1F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Esophageal varices</w:t>
            </w:r>
            <w:r w:rsidR="00211ED8" w:rsidRPr="003B6E1F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211ED8"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(%)</w:t>
            </w:r>
          </w:p>
          <w:p w14:paraId="7C85D1FB" w14:textId="2A551631" w:rsidR="00211ED8" w:rsidRPr="003B6E1F" w:rsidRDefault="003879B1" w:rsidP="003B6E1F">
            <w:pPr>
              <w:ind w:left="708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  <w:p w14:paraId="34D57A94" w14:textId="43EC32A0" w:rsidR="00211ED8" w:rsidRPr="003B6E1F" w:rsidRDefault="00211ED8" w:rsidP="003B6E1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</w:t>
            </w:r>
            <w:r w:rsidR="003879B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013" w:type="pct"/>
            <w:noWrap/>
          </w:tcPr>
          <w:p w14:paraId="7CCC44EC" w14:textId="77777777" w:rsidR="00211ED8" w:rsidRPr="003B6E1F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71F421E4" w14:textId="77777777" w:rsidR="003879B1" w:rsidRDefault="003879B1" w:rsidP="00387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 (14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1%)</w:t>
            </w:r>
          </w:p>
          <w:p w14:paraId="2E292CE7" w14:textId="575EFBF1" w:rsidR="00211ED8" w:rsidRPr="003B6E1F" w:rsidRDefault="00211ED8" w:rsidP="00387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 (85</w:t>
            </w:r>
            <w:r w:rsidR="003879B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9%) </w:t>
            </w:r>
          </w:p>
        </w:tc>
        <w:tc>
          <w:tcPr>
            <w:tcW w:w="1097" w:type="pct"/>
            <w:noWrap/>
          </w:tcPr>
          <w:p w14:paraId="7CAC5B67" w14:textId="77777777" w:rsidR="00211ED8" w:rsidRPr="003B6E1F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4EF9B419" w14:textId="77777777" w:rsidR="003879B1" w:rsidRDefault="003879B1" w:rsidP="00387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 (13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4%)</w:t>
            </w:r>
          </w:p>
          <w:p w14:paraId="330B3BCE" w14:textId="3DC523C3" w:rsidR="00211ED8" w:rsidRPr="003B6E1F" w:rsidRDefault="00211ED8" w:rsidP="00387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84 (86</w:t>
            </w:r>
            <w:r w:rsidR="003879B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6%)</w:t>
            </w:r>
          </w:p>
        </w:tc>
        <w:tc>
          <w:tcPr>
            <w:tcW w:w="632" w:type="pct"/>
          </w:tcPr>
          <w:p w14:paraId="51021C6F" w14:textId="77777777" w:rsidR="00211ED8" w:rsidRPr="003B6E1F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1D1563" w:rsidRPr="003B6E1F" w14:paraId="7E4FA599" w14:textId="77777777" w:rsidTr="001D1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pct"/>
            <w:noWrap/>
            <w:hideMark/>
          </w:tcPr>
          <w:p w14:paraId="65A1611B" w14:textId="58FCE3BB" w:rsidR="00211ED8" w:rsidRPr="003B6E1F" w:rsidRDefault="00211ED8" w:rsidP="003B6E1F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Child-Pugh (</w:t>
            </w:r>
            <w:proofErr w:type="gramStart"/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%)</w:t>
            </w:r>
            <w:r w:rsidR="00322BE6" w:rsidRPr="000E51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US" w:eastAsia="pt-BR"/>
              </w:rPr>
              <w:t>†</w:t>
            </w:r>
            <w:proofErr w:type="gramEnd"/>
          </w:p>
          <w:p w14:paraId="7B172B90" w14:textId="77777777" w:rsidR="00211ED8" w:rsidRPr="003B6E1F" w:rsidRDefault="00211ED8" w:rsidP="003B6E1F">
            <w:pPr>
              <w:ind w:left="708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A5</w:t>
            </w:r>
          </w:p>
          <w:p w14:paraId="42EF1C96" w14:textId="77777777" w:rsidR="00211ED8" w:rsidRPr="003B6E1F" w:rsidRDefault="00211ED8" w:rsidP="003B6E1F">
            <w:pPr>
              <w:ind w:left="708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A6</w:t>
            </w:r>
          </w:p>
          <w:p w14:paraId="6A288845" w14:textId="77777777" w:rsidR="00211ED8" w:rsidRPr="003B6E1F" w:rsidRDefault="00211ED8" w:rsidP="003B6E1F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B7</w:t>
            </w:r>
          </w:p>
        </w:tc>
        <w:tc>
          <w:tcPr>
            <w:tcW w:w="1013" w:type="pct"/>
            <w:noWrap/>
            <w:hideMark/>
          </w:tcPr>
          <w:p w14:paraId="3000C0D8" w14:textId="77777777" w:rsidR="00211ED8" w:rsidRPr="003B6E1F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27F2E906" w14:textId="2A02A2BD" w:rsidR="00211ED8" w:rsidRPr="003B6E1F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49 (7</w:t>
            </w:r>
            <w:r w:rsidR="00322B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4.6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%)</w:t>
            </w:r>
          </w:p>
          <w:p w14:paraId="2CE25AC1" w14:textId="3017CB44" w:rsidR="00211ED8" w:rsidRPr="003B6E1F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 (21</w:t>
            </w:r>
            <w:r w:rsidR="003879B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8%)</w:t>
            </w:r>
          </w:p>
          <w:p w14:paraId="02C07436" w14:textId="23732EBC" w:rsidR="00211ED8" w:rsidRPr="003B6E1F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 (1</w:t>
            </w:r>
            <w:r w:rsidR="003879B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6%)</w:t>
            </w:r>
          </w:p>
        </w:tc>
        <w:tc>
          <w:tcPr>
            <w:tcW w:w="1097" w:type="pct"/>
            <w:noWrap/>
            <w:hideMark/>
          </w:tcPr>
          <w:p w14:paraId="2C36E3C8" w14:textId="77777777" w:rsidR="00211ED8" w:rsidRPr="003B6E1F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0CD30EC" w14:textId="63EB4F20" w:rsidR="00211ED8" w:rsidRPr="003B6E1F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 (</w:t>
            </w:r>
            <w:r w:rsidR="00322B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57.3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%)</w:t>
            </w:r>
          </w:p>
          <w:p w14:paraId="6ADAA03A" w14:textId="0B51BF6C" w:rsidR="00211ED8" w:rsidRPr="003B6E1F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 (30</w:t>
            </w:r>
            <w:r w:rsidR="003879B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9%)</w:t>
            </w:r>
          </w:p>
          <w:p w14:paraId="6041D0BF" w14:textId="7AFFB8D2" w:rsidR="00211ED8" w:rsidRPr="003B6E1F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 (5</w:t>
            </w:r>
            <w:r w:rsidR="003879B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2%)</w:t>
            </w:r>
          </w:p>
        </w:tc>
        <w:tc>
          <w:tcPr>
            <w:tcW w:w="632" w:type="pct"/>
          </w:tcPr>
          <w:p w14:paraId="57F21D01" w14:textId="3B7CEF16" w:rsidR="00211ED8" w:rsidRPr="003B6E1F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3879B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117</w:t>
            </w:r>
          </w:p>
        </w:tc>
      </w:tr>
      <w:tr w:rsidR="001D1563" w:rsidRPr="003B6E1F" w14:paraId="6D9F3395" w14:textId="77777777" w:rsidTr="001D156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pct"/>
            <w:noWrap/>
          </w:tcPr>
          <w:p w14:paraId="5090D08C" w14:textId="77777777" w:rsidR="00211ED8" w:rsidRPr="003C0848" w:rsidRDefault="00211ED8" w:rsidP="003B6E1F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MELD</w:t>
            </w:r>
          </w:p>
          <w:p w14:paraId="027B7697" w14:textId="77777777" w:rsidR="002D0234" w:rsidRPr="003C0848" w:rsidRDefault="002D0234" w:rsidP="003C0848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mean ± SD</w:t>
            </w:r>
          </w:p>
          <w:p w14:paraId="58C52655" w14:textId="55813D7F" w:rsidR="00211ED8" w:rsidRPr="003C0848" w:rsidRDefault="002D0234" w:rsidP="002D0234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median (</w:t>
            </w:r>
            <w:r w:rsidRPr="003C0848">
              <w:rPr>
                <w:rFonts w:ascii="Arial" w:hAnsi="Arial" w:cs="Arial"/>
                <w:sz w:val="20"/>
                <w:szCs w:val="20"/>
                <w:lang w:val="en-US" w:bidi="en-US"/>
              </w:rPr>
              <w:t>quartile 25-75</w:t>
            </w: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13" w:type="pct"/>
            <w:noWrap/>
          </w:tcPr>
          <w:p w14:paraId="1E5C80E5" w14:textId="77777777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DC987E3" w14:textId="77777777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 ± 2</w:t>
            </w:r>
          </w:p>
          <w:p w14:paraId="176F003C" w14:textId="77777777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 (7-9)</w:t>
            </w:r>
          </w:p>
        </w:tc>
        <w:tc>
          <w:tcPr>
            <w:tcW w:w="1097" w:type="pct"/>
            <w:noWrap/>
          </w:tcPr>
          <w:p w14:paraId="1868BF70" w14:textId="77777777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584E3AA" w14:textId="77777777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 ± 3</w:t>
            </w:r>
          </w:p>
          <w:p w14:paraId="561E982B" w14:textId="77777777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 (7-10)</w:t>
            </w:r>
          </w:p>
        </w:tc>
        <w:tc>
          <w:tcPr>
            <w:tcW w:w="632" w:type="pct"/>
          </w:tcPr>
          <w:p w14:paraId="6EC0984A" w14:textId="193527FE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159</w:t>
            </w:r>
          </w:p>
        </w:tc>
      </w:tr>
      <w:tr w:rsidR="001D1563" w:rsidRPr="003B6E1F" w14:paraId="3278B928" w14:textId="77777777" w:rsidTr="001D1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pct"/>
            <w:noWrap/>
          </w:tcPr>
          <w:p w14:paraId="0F8AE021" w14:textId="49F70474" w:rsidR="00211ED8" w:rsidRPr="003C0848" w:rsidRDefault="003C0848" w:rsidP="003B6E1F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Bilirubin</w:t>
            </w:r>
            <w:r w:rsidR="00211ED8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(g/dL)</w:t>
            </w:r>
          </w:p>
          <w:p w14:paraId="3FD48B53" w14:textId="77777777" w:rsidR="002D0234" w:rsidRPr="003C0848" w:rsidRDefault="002D0234" w:rsidP="003C0848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mean ± SD</w:t>
            </w:r>
          </w:p>
          <w:p w14:paraId="6CD0DC7C" w14:textId="57F1C5C5" w:rsidR="00211ED8" w:rsidRPr="003C0848" w:rsidRDefault="002D0234" w:rsidP="002D0234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median (</w:t>
            </w:r>
            <w:r w:rsidRPr="003C0848">
              <w:rPr>
                <w:rFonts w:ascii="Arial" w:hAnsi="Arial" w:cs="Arial"/>
                <w:sz w:val="20"/>
                <w:szCs w:val="20"/>
                <w:lang w:val="en-US" w:bidi="en-US"/>
              </w:rPr>
              <w:t>quartile 25-75</w:t>
            </w: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13" w:type="pct"/>
            <w:noWrap/>
          </w:tcPr>
          <w:p w14:paraId="23A76321" w14:textId="77777777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792B9FC" w14:textId="1F9923C0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 ± 0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  <w:p w14:paraId="02F5DFF4" w14:textId="78299E54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 (0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5-0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9)</w:t>
            </w:r>
          </w:p>
        </w:tc>
        <w:tc>
          <w:tcPr>
            <w:tcW w:w="1097" w:type="pct"/>
            <w:noWrap/>
          </w:tcPr>
          <w:p w14:paraId="2D9D3A3B" w14:textId="77777777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3CFB1D2" w14:textId="63D8D36F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 ± 0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  <w:p w14:paraId="51E57B3D" w14:textId="3312F18F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 (0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5-0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9)</w:t>
            </w:r>
          </w:p>
        </w:tc>
        <w:tc>
          <w:tcPr>
            <w:tcW w:w="632" w:type="pct"/>
          </w:tcPr>
          <w:p w14:paraId="6BB5A49B" w14:textId="6E070851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862</w:t>
            </w:r>
          </w:p>
        </w:tc>
      </w:tr>
      <w:tr w:rsidR="001D1563" w:rsidRPr="003B6E1F" w14:paraId="392D0330" w14:textId="77777777" w:rsidTr="001D156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pct"/>
            <w:noWrap/>
          </w:tcPr>
          <w:p w14:paraId="5C640E45" w14:textId="3BB52F6E" w:rsidR="00211ED8" w:rsidRPr="003C0848" w:rsidRDefault="003C0848" w:rsidP="003B6E1F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BD779F">
              <w:rPr>
                <w:rFonts w:ascii="Arial" w:hAnsi="Arial" w:cs="Arial"/>
                <w:color w:val="000000"/>
                <w:sz w:val="20"/>
                <w:szCs w:val="20"/>
              </w:rPr>
              <w:t>Aspartate</w:t>
            </w:r>
            <w:proofErr w:type="spellEnd"/>
            <w:r w:rsidR="00211ED8" w:rsidRPr="00BD77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11ED8" w:rsidRPr="00BD779F">
              <w:rPr>
                <w:rFonts w:ascii="Arial" w:hAnsi="Arial" w:cs="Arial"/>
                <w:color w:val="000000"/>
                <w:sz w:val="20"/>
                <w:szCs w:val="20"/>
              </w:rPr>
              <w:t>aminotransferase</w:t>
            </w:r>
            <w:proofErr w:type="spellEnd"/>
            <w:r w:rsidR="00211ED8" w:rsidRPr="003C0848">
              <w:rPr>
                <w:rFonts w:ascii="Arial" w:hAnsi="Arial" w:cs="Arial"/>
                <w:color w:val="000000"/>
                <w:sz w:val="20"/>
                <w:szCs w:val="20"/>
              </w:rPr>
              <w:t xml:space="preserve"> (AST</w:t>
            </w:r>
            <w:r w:rsidR="000934A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856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11ED8" w:rsidRPr="003C0848">
              <w:rPr>
                <w:rFonts w:ascii="Arial" w:hAnsi="Arial" w:cs="Arial"/>
                <w:color w:val="000000"/>
                <w:sz w:val="20"/>
                <w:szCs w:val="20"/>
              </w:rPr>
              <w:t>U/L)</w:t>
            </w:r>
          </w:p>
          <w:p w14:paraId="49BD1901" w14:textId="77777777" w:rsidR="002D0234" w:rsidRPr="003C0848" w:rsidRDefault="002D0234" w:rsidP="003C0848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mean ± SD</w:t>
            </w:r>
          </w:p>
          <w:p w14:paraId="3E702627" w14:textId="76751FFD" w:rsidR="00211ED8" w:rsidRPr="003C0848" w:rsidRDefault="002D0234" w:rsidP="002D0234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median (</w:t>
            </w:r>
            <w:r w:rsidRPr="003C0848">
              <w:rPr>
                <w:rFonts w:ascii="Arial" w:hAnsi="Arial" w:cs="Arial"/>
                <w:sz w:val="20"/>
                <w:szCs w:val="20"/>
                <w:lang w:val="en-US" w:bidi="en-US"/>
              </w:rPr>
              <w:t>quartile 25-75</w:t>
            </w: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13" w:type="pct"/>
            <w:noWrap/>
          </w:tcPr>
          <w:p w14:paraId="6F7478E3" w14:textId="77777777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230B518" w14:textId="77777777" w:rsidR="001D1563" w:rsidRDefault="001D1563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24E8AAF" w14:textId="5A07395E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 ± 46</w:t>
            </w:r>
          </w:p>
          <w:p w14:paraId="7A2B3CE7" w14:textId="77777777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47 (29-72)</w:t>
            </w:r>
          </w:p>
        </w:tc>
        <w:tc>
          <w:tcPr>
            <w:tcW w:w="1097" w:type="pct"/>
            <w:noWrap/>
          </w:tcPr>
          <w:p w14:paraId="67CC683F" w14:textId="77777777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7EBACF02" w14:textId="77777777" w:rsidR="001D1563" w:rsidRDefault="001D1563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27C81C52" w14:textId="01A053C8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 ± 32</w:t>
            </w:r>
          </w:p>
          <w:p w14:paraId="42F32AB0" w14:textId="77777777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 (27-64)</w:t>
            </w:r>
          </w:p>
        </w:tc>
        <w:tc>
          <w:tcPr>
            <w:tcW w:w="632" w:type="pct"/>
          </w:tcPr>
          <w:p w14:paraId="05B984EC" w14:textId="463D3CA6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671</w:t>
            </w:r>
          </w:p>
        </w:tc>
      </w:tr>
      <w:tr w:rsidR="001D1563" w:rsidRPr="003B6E1F" w14:paraId="2F7B9154" w14:textId="77777777" w:rsidTr="001D1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pct"/>
            <w:noWrap/>
            <w:hideMark/>
          </w:tcPr>
          <w:p w14:paraId="0EE01DC9" w14:textId="03ABA611" w:rsidR="00211ED8" w:rsidRPr="0038561C" w:rsidRDefault="003C0848" w:rsidP="003B6E1F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1D1563">
              <w:rPr>
                <w:rFonts w:ascii="Arial" w:hAnsi="Arial" w:cs="Arial"/>
                <w:color w:val="000000"/>
                <w:sz w:val="20"/>
                <w:szCs w:val="20"/>
              </w:rPr>
              <w:t>Alanine</w:t>
            </w:r>
            <w:proofErr w:type="spellEnd"/>
            <w:r w:rsidR="00211ED8" w:rsidRPr="001D15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11ED8" w:rsidRPr="001D1563">
              <w:rPr>
                <w:rFonts w:ascii="Arial" w:hAnsi="Arial" w:cs="Arial"/>
                <w:color w:val="000000"/>
                <w:sz w:val="20"/>
                <w:szCs w:val="20"/>
              </w:rPr>
              <w:t>aminotransferase</w:t>
            </w:r>
            <w:proofErr w:type="spellEnd"/>
            <w:r w:rsidR="00211ED8" w:rsidRPr="001D156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211ED8" w:rsidRPr="0038561C">
              <w:rPr>
                <w:rFonts w:ascii="Arial" w:hAnsi="Arial" w:cs="Arial"/>
                <w:color w:val="000000"/>
                <w:sz w:val="20"/>
                <w:szCs w:val="20"/>
              </w:rPr>
              <w:t>ALT</w:t>
            </w:r>
            <w:r w:rsidR="000934A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8561C" w:rsidRPr="003856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11ED8" w:rsidRPr="0038561C">
              <w:rPr>
                <w:rFonts w:ascii="Arial" w:hAnsi="Arial" w:cs="Arial"/>
                <w:color w:val="000000"/>
                <w:sz w:val="20"/>
                <w:szCs w:val="20"/>
              </w:rPr>
              <w:t>U/L)</w:t>
            </w:r>
          </w:p>
          <w:p w14:paraId="25D1271C" w14:textId="77777777" w:rsidR="002D0234" w:rsidRPr="003C0848" w:rsidRDefault="002D0234" w:rsidP="003C0848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mean ± SD</w:t>
            </w:r>
          </w:p>
          <w:p w14:paraId="1A96102F" w14:textId="63D6228E" w:rsidR="00211ED8" w:rsidRPr="003C0848" w:rsidRDefault="002D0234" w:rsidP="002D0234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median (</w:t>
            </w:r>
            <w:r w:rsidRPr="003C0848">
              <w:rPr>
                <w:rFonts w:ascii="Arial" w:hAnsi="Arial" w:cs="Arial"/>
                <w:sz w:val="20"/>
                <w:szCs w:val="20"/>
                <w:lang w:val="en-US" w:bidi="en-US"/>
              </w:rPr>
              <w:t>quartile 25-75</w:t>
            </w: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13" w:type="pct"/>
            <w:noWrap/>
            <w:hideMark/>
          </w:tcPr>
          <w:p w14:paraId="09F792D3" w14:textId="77777777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79C86185" w14:textId="77777777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56 ± 50</w:t>
            </w:r>
          </w:p>
          <w:p w14:paraId="1752265A" w14:textId="77777777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41 (30-69)</w:t>
            </w:r>
          </w:p>
        </w:tc>
        <w:tc>
          <w:tcPr>
            <w:tcW w:w="1097" w:type="pct"/>
            <w:noWrap/>
            <w:hideMark/>
          </w:tcPr>
          <w:p w14:paraId="45960810" w14:textId="77777777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27C01E96" w14:textId="77777777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 ± 51</w:t>
            </w:r>
          </w:p>
          <w:p w14:paraId="106232FE" w14:textId="77777777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 (21-59)</w:t>
            </w:r>
          </w:p>
        </w:tc>
        <w:tc>
          <w:tcPr>
            <w:tcW w:w="632" w:type="pct"/>
          </w:tcPr>
          <w:p w14:paraId="224AED3A" w14:textId="29C45D12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068</w:t>
            </w:r>
          </w:p>
        </w:tc>
      </w:tr>
      <w:tr w:rsidR="001D1563" w:rsidRPr="003B6E1F" w14:paraId="3AFA472A" w14:textId="77777777" w:rsidTr="001D156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pct"/>
            <w:noWrap/>
            <w:hideMark/>
          </w:tcPr>
          <w:p w14:paraId="32831364" w14:textId="77B6930D" w:rsidR="00211ED8" w:rsidRPr="003C0848" w:rsidRDefault="001D1563" w:rsidP="003B6E1F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Alpha-fetoprotein</w:t>
            </w:r>
            <w:r w:rsidR="00211ED8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(ng/mL)</w:t>
            </w:r>
          </w:p>
          <w:p w14:paraId="60C90914" w14:textId="77777777" w:rsidR="002D0234" w:rsidRPr="003C0848" w:rsidRDefault="002D0234" w:rsidP="001D1563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mean ± SD</w:t>
            </w:r>
          </w:p>
          <w:p w14:paraId="2EC2C4DE" w14:textId="1B6E1F4E" w:rsidR="00211ED8" w:rsidRPr="003C0848" w:rsidRDefault="002D0234" w:rsidP="002D0234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median (</w:t>
            </w:r>
            <w:r w:rsidRPr="003C0848">
              <w:rPr>
                <w:rFonts w:ascii="Arial" w:hAnsi="Arial" w:cs="Arial"/>
                <w:sz w:val="20"/>
                <w:szCs w:val="20"/>
                <w:lang w:val="en-US" w:bidi="en-US"/>
              </w:rPr>
              <w:t>quartile 25-75</w:t>
            </w: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13" w:type="pct"/>
            <w:noWrap/>
            <w:hideMark/>
          </w:tcPr>
          <w:p w14:paraId="01073B6A" w14:textId="77777777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D7EFEEB" w14:textId="64092B4C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382 ± 897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  <w:p w14:paraId="5C0633B2" w14:textId="32626850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 (5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1-227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7)</w:t>
            </w:r>
          </w:p>
        </w:tc>
        <w:tc>
          <w:tcPr>
            <w:tcW w:w="1097" w:type="pct"/>
            <w:noWrap/>
            <w:hideMark/>
          </w:tcPr>
          <w:p w14:paraId="74FA0D17" w14:textId="77777777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37D51036" w14:textId="6E502BC2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3975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 ± 15975</w:t>
            </w:r>
          </w:p>
          <w:p w14:paraId="03DBADFB" w14:textId="17BB49C2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 (4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9-151)</w:t>
            </w:r>
          </w:p>
        </w:tc>
        <w:tc>
          <w:tcPr>
            <w:tcW w:w="632" w:type="pct"/>
          </w:tcPr>
          <w:p w14:paraId="1DAE18CE" w14:textId="0A2E6895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784</w:t>
            </w:r>
          </w:p>
        </w:tc>
      </w:tr>
      <w:tr w:rsidR="001D1563" w:rsidRPr="003B6E1F" w14:paraId="45A0323E" w14:textId="77777777" w:rsidTr="001D1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pct"/>
            <w:noWrap/>
            <w:hideMark/>
          </w:tcPr>
          <w:p w14:paraId="2E88F62B" w14:textId="43A1B832" w:rsidR="00211ED8" w:rsidRPr="003C0848" w:rsidRDefault="001D1563" w:rsidP="003B6E1F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Albumin</w:t>
            </w:r>
            <w:r w:rsidR="00211ED8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(g/dL)</w:t>
            </w:r>
          </w:p>
          <w:p w14:paraId="0D0FBD54" w14:textId="77777777" w:rsidR="002D0234" w:rsidRPr="003C0848" w:rsidRDefault="002D0234" w:rsidP="001D1563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mean ± SD</w:t>
            </w:r>
          </w:p>
          <w:p w14:paraId="7C8A06A5" w14:textId="2FDEED60" w:rsidR="00211ED8" w:rsidRPr="003C0848" w:rsidRDefault="002D0234" w:rsidP="002D0234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median (</w:t>
            </w:r>
            <w:r w:rsidRPr="003C0848">
              <w:rPr>
                <w:rFonts w:ascii="Arial" w:hAnsi="Arial" w:cs="Arial"/>
                <w:sz w:val="20"/>
                <w:szCs w:val="20"/>
                <w:lang w:val="en-US" w:bidi="en-US"/>
              </w:rPr>
              <w:t>quartile 25-75</w:t>
            </w: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13" w:type="pct"/>
            <w:noWrap/>
            <w:hideMark/>
          </w:tcPr>
          <w:p w14:paraId="562DD483" w14:textId="77777777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373E8713" w14:textId="44AAE8FC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 ± 0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3 </w:t>
            </w:r>
          </w:p>
          <w:p w14:paraId="74D0A370" w14:textId="45320C0E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 (4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1-4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6)</w:t>
            </w:r>
          </w:p>
        </w:tc>
        <w:tc>
          <w:tcPr>
            <w:tcW w:w="1097" w:type="pct"/>
            <w:noWrap/>
            <w:hideMark/>
          </w:tcPr>
          <w:p w14:paraId="031B0118" w14:textId="77777777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3E059D82" w14:textId="76EDFE60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 ± 0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3 </w:t>
            </w:r>
          </w:p>
          <w:p w14:paraId="78784903" w14:textId="2681ED93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 (3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7-4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5)</w:t>
            </w:r>
          </w:p>
        </w:tc>
        <w:tc>
          <w:tcPr>
            <w:tcW w:w="632" w:type="pct"/>
          </w:tcPr>
          <w:p w14:paraId="3995DF31" w14:textId="19C8CBE3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="003879B1" w:rsidRPr="003C08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028</w:t>
            </w:r>
          </w:p>
        </w:tc>
      </w:tr>
      <w:tr w:rsidR="001D1563" w:rsidRPr="003B6E1F" w14:paraId="46963C67" w14:textId="77777777" w:rsidTr="001D156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pct"/>
            <w:noWrap/>
            <w:hideMark/>
          </w:tcPr>
          <w:p w14:paraId="2DB44D64" w14:textId="2734CB1A" w:rsidR="00211ED8" w:rsidRPr="003C0848" w:rsidRDefault="001D1563" w:rsidP="003B6E1F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PLR</w:t>
            </w:r>
          </w:p>
          <w:p w14:paraId="7827D680" w14:textId="77777777" w:rsidR="002D0234" w:rsidRPr="003C0848" w:rsidRDefault="002D0234" w:rsidP="001D1563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mean ± SD</w:t>
            </w:r>
          </w:p>
          <w:p w14:paraId="05105C52" w14:textId="2B5CEB5B" w:rsidR="00211ED8" w:rsidRPr="003C0848" w:rsidRDefault="002D0234" w:rsidP="002D0234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median (</w:t>
            </w:r>
            <w:r w:rsidRPr="003C0848">
              <w:rPr>
                <w:rFonts w:ascii="Arial" w:hAnsi="Arial" w:cs="Arial"/>
                <w:sz w:val="20"/>
                <w:szCs w:val="20"/>
                <w:lang w:val="en-US" w:bidi="en-US"/>
              </w:rPr>
              <w:t>quartile 25-75</w:t>
            </w: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13" w:type="pct"/>
            <w:noWrap/>
            <w:hideMark/>
          </w:tcPr>
          <w:p w14:paraId="5FB258C7" w14:textId="77777777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804C3D3" w14:textId="5D2A1E17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89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9 ± 103 </w:t>
            </w:r>
          </w:p>
          <w:p w14:paraId="49D96751" w14:textId="14C261A5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72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 (53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7-93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2)</w:t>
            </w:r>
          </w:p>
        </w:tc>
        <w:tc>
          <w:tcPr>
            <w:tcW w:w="1097" w:type="pct"/>
            <w:noWrap/>
            <w:hideMark/>
          </w:tcPr>
          <w:p w14:paraId="345D7D52" w14:textId="77777777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19D860A" w14:textId="35D63D3F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134 ± 73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 </w:t>
            </w:r>
          </w:p>
          <w:p w14:paraId="132BD98B" w14:textId="0562B82D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111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 (91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2-160)</w:t>
            </w:r>
          </w:p>
        </w:tc>
        <w:tc>
          <w:tcPr>
            <w:tcW w:w="632" w:type="pct"/>
          </w:tcPr>
          <w:p w14:paraId="14456DE9" w14:textId="366E8B92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&lt;0</w:t>
            </w:r>
            <w:r w:rsidR="003879B1" w:rsidRPr="003C08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001</w:t>
            </w:r>
          </w:p>
        </w:tc>
      </w:tr>
      <w:tr w:rsidR="001D1563" w:rsidRPr="003B6E1F" w14:paraId="485972E2" w14:textId="77777777" w:rsidTr="001D1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pct"/>
            <w:noWrap/>
            <w:hideMark/>
          </w:tcPr>
          <w:p w14:paraId="0C9818D2" w14:textId="7D03A863" w:rsidR="00211ED8" w:rsidRPr="003C0848" w:rsidRDefault="001D1563" w:rsidP="003B6E1F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MLR</w:t>
            </w:r>
          </w:p>
          <w:p w14:paraId="59E6B80A" w14:textId="77777777" w:rsidR="002D0234" w:rsidRPr="003C0848" w:rsidRDefault="002D0234" w:rsidP="001D1563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mean ± SD</w:t>
            </w:r>
          </w:p>
          <w:p w14:paraId="1D3F0D70" w14:textId="032F415C" w:rsidR="00211ED8" w:rsidRPr="003C0848" w:rsidRDefault="002D0234" w:rsidP="002D0234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median (</w:t>
            </w:r>
            <w:r w:rsidRPr="003C0848">
              <w:rPr>
                <w:rFonts w:ascii="Arial" w:hAnsi="Arial" w:cs="Arial"/>
                <w:sz w:val="20"/>
                <w:szCs w:val="20"/>
                <w:lang w:val="en-US" w:bidi="en-US"/>
              </w:rPr>
              <w:t>quartile 25-75</w:t>
            </w: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13" w:type="pct"/>
            <w:noWrap/>
            <w:hideMark/>
          </w:tcPr>
          <w:p w14:paraId="16F34C78" w14:textId="77777777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EC955B6" w14:textId="55CC4D70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 ± 3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  <w:p w14:paraId="5CE9F0D8" w14:textId="41FB4702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 (2-3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8)</w:t>
            </w:r>
          </w:p>
        </w:tc>
        <w:tc>
          <w:tcPr>
            <w:tcW w:w="1097" w:type="pct"/>
            <w:noWrap/>
            <w:hideMark/>
          </w:tcPr>
          <w:p w14:paraId="15C9847C" w14:textId="77777777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EEC3FBE" w14:textId="7C5F224E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 ± 3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  <w:p w14:paraId="78564CCA" w14:textId="0C7F1DD3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4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 (3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4-5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5)</w:t>
            </w:r>
          </w:p>
        </w:tc>
        <w:tc>
          <w:tcPr>
            <w:tcW w:w="632" w:type="pct"/>
          </w:tcPr>
          <w:p w14:paraId="21CCC976" w14:textId="5AB94535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&lt;0</w:t>
            </w:r>
            <w:r w:rsidR="003879B1" w:rsidRPr="003C08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001</w:t>
            </w:r>
          </w:p>
        </w:tc>
      </w:tr>
      <w:tr w:rsidR="001D1563" w:rsidRPr="003B6E1F" w14:paraId="491635EE" w14:textId="77777777" w:rsidTr="001D156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pct"/>
            <w:noWrap/>
            <w:hideMark/>
          </w:tcPr>
          <w:p w14:paraId="2A9918BA" w14:textId="613DE2E0" w:rsidR="00211ED8" w:rsidRPr="00322BE6" w:rsidRDefault="001D1563" w:rsidP="003B6E1F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22B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Tumor size</w:t>
            </w:r>
            <w:r w:rsidR="00211ED8" w:rsidRPr="00322B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(mm)</w:t>
            </w:r>
          </w:p>
          <w:p w14:paraId="45FF6AB3" w14:textId="77777777" w:rsidR="002D0234" w:rsidRPr="003C0848" w:rsidRDefault="002D0234" w:rsidP="001D1563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mean ± SD</w:t>
            </w:r>
          </w:p>
          <w:p w14:paraId="62193F8B" w14:textId="72AD3CF3" w:rsidR="00211ED8" w:rsidRPr="003C0848" w:rsidRDefault="002D0234" w:rsidP="002D0234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median (</w:t>
            </w:r>
            <w:r w:rsidRPr="003C0848">
              <w:rPr>
                <w:rFonts w:ascii="Arial" w:hAnsi="Arial" w:cs="Arial"/>
                <w:sz w:val="20"/>
                <w:szCs w:val="20"/>
                <w:lang w:val="en-US" w:bidi="en-US"/>
              </w:rPr>
              <w:t>quartile 25-75</w:t>
            </w: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13" w:type="pct"/>
            <w:noWrap/>
            <w:hideMark/>
          </w:tcPr>
          <w:p w14:paraId="7DA7A45D" w14:textId="77777777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23598111" w14:textId="77777777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39 ± 26</w:t>
            </w:r>
          </w:p>
          <w:p w14:paraId="3BB937A0" w14:textId="77777777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 (21-45)</w:t>
            </w:r>
          </w:p>
        </w:tc>
        <w:tc>
          <w:tcPr>
            <w:tcW w:w="1097" w:type="pct"/>
            <w:noWrap/>
            <w:hideMark/>
          </w:tcPr>
          <w:p w14:paraId="4B97D5C8" w14:textId="77777777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1AF13FA3" w14:textId="77777777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77 ± 57 </w:t>
            </w:r>
          </w:p>
          <w:p w14:paraId="34230BDC" w14:textId="77777777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58 (35-100)</w:t>
            </w:r>
          </w:p>
        </w:tc>
        <w:tc>
          <w:tcPr>
            <w:tcW w:w="632" w:type="pct"/>
          </w:tcPr>
          <w:p w14:paraId="3F8AC0E0" w14:textId="0AD9E056" w:rsidR="00211ED8" w:rsidRPr="003C0848" w:rsidRDefault="00211ED8" w:rsidP="003B6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&lt;0</w:t>
            </w:r>
            <w:r w:rsidR="003879B1" w:rsidRPr="003C08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001</w:t>
            </w:r>
          </w:p>
        </w:tc>
      </w:tr>
      <w:tr w:rsidR="001D1563" w:rsidRPr="003B6E1F" w14:paraId="36CA437B" w14:textId="77777777" w:rsidTr="001D1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pct"/>
            <w:noWrap/>
            <w:hideMark/>
          </w:tcPr>
          <w:p w14:paraId="741FBC28" w14:textId="24170707" w:rsidR="00211ED8" w:rsidRPr="003C0848" w:rsidRDefault="001D1563" w:rsidP="003B6E1F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</w:t>
            </w:r>
            <w:r w:rsidR="00211ED8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ascular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invasion</w:t>
            </w:r>
          </w:p>
          <w:p w14:paraId="00823C6D" w14:textId="6271BADE" w:rsidR="00211ED8" w:rsidRPr="003C0848" w:rsidRDefault="002D0234" w:rsidP="003B6E1F">
            <w:pPr>
              <w:ind w:left="708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  <w:p w14:paraId="1F54D8AC" w14:textId="67B1ECAC" w:rsidR="00211ED8" w:rsidRPr="003C0848" w:rsidRDefault="002D0234" w:rsidP="003B6E1F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013" w:type="pct"/>
            <w:noWrap/>
            <w:hideMark/>
          </w:tcPr>
          <w:p w14:paraId="1509055F" w14:textId="77777777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B4713E9" w14:textId="77777777" w:rsidR="001D1563" w:rsidRDefault="002D0234" w:rsidP="002D0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 (50%)</w:t>
            </w:r>
          </w:p>
          <w:p w14:paraId="5BFD82DA" w14:textId="22755B94" w:rsidR="00211ED8" w:rsidRPr="003C0848" w:rsidRDefault="00211ED8" w:rsidP="002D0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 (50%)</w:t>
            </w:r>
          </w:p>
        </w:tc>
        <w:tc>
          <w:tcPr>
            <w:tcW w:w="1097" w:type="pct"/>
            <w:noWrap/>
            <w:hideMark/>
          </w:tcPr>
          <w:p w14:paraId="2791C824" w14:textId="77777777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F13D783" w14:textId="77777777" w:rsidR="001D1563" w:rsidRDefault="002D0234" w:rsidP="002D0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43 (44.3%)</w:t>
            </w:r>
          </w:p>
          <w:p w14:paraId="0C70E198" w14:textId="40D38EA3" w:rsidR="00211ED8" w:rsidRPr="003C0848" w:rsidRDefault="00211ED8" w:rsidP="002D0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54 (55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6%)</w:t>
            </w:r>
          </w:p>
        </w:tc>
        <w:tc>
          <w:tcPr>
            <w:tcW w:w="632" w:type="pct"/>
          </w:tcPr>
          <w:p w14:paraId="618B445B" w14:textId="4EA5FD3B" w:rsidR="00211ED8" w:rsidRPr="003C0848" w:rsidRDefault="00211ED8" w:rsidP="003B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3879B1"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521</w:t>
            </w:r>
          </w:p>
        </w:tc>
      </w:tr>
    </w:tbl>
    <w:p w14:paraId="033FCF12" w14:textId="4DA33D82" w:rsidR="00FA318E" w:rsidRPr="00830AAB" w:rsidRDefault="00FA318E" w:rsidP="00FA31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FA318E">
        <w:rPr>
          <w:rFonts w:ascii="Arial" w:hAnsi="Arial" w:cs="Arial"/>
          <w:sz w:val="20"/>
          <w:szCs w:val="20"/>
          <w:lang w:val="en-US"/>
        </w:rPr>
        <w:t>SD: standard deviation</w:t>
      </w:r>
      <w:r w:rsidR="000934A5">
        <w:rPr>
          <w:rFonts w:ascii="Arial" w:hAnsi="Arial" w:cs="Arial"/>
          <w:sz w:val="20"/>
          <w:szCs w:val="20"/>
          <w:lang w:val="en-US"/>
        </w:rPr>
        <w:t xml:space="preserve">; </w:t>
      </w:r>
      <w:r w:rsidRPr="00830AAB">
        <w:rPr>
          <w:rFonts w:ascii="Arial" w:hAnsi="Arial" w:cs="Arial"/>
          <w:sz w:val="20"/>
          <w:szCs w:val="20"/>
          <w:lang w:val="en-US"/>
        </w:rPr>
        <w:t xml:space="preserve">MELD: Model </w:t>
      </w:r>
      <w:r w:rsidR="0009531A">
        <w:rPr>
          <w:rFonts w:ascii="Arial" w:hAnsi="Arial" w:cs="Arial"/>
          <w:sz w:val="20"/>
          <w:szCs w:val="20"/>
          <w:lang w:val="en-US"/>
        </w:rPr>
        <w:t xml:space="preserve">for </w:t>
      </w:r>
      <w:r w:rsidRPr="00830AAB">
        <w:rPr>
          <w:rFonts w:ascii="Arial" w:hAnsi="Arial" w:cs="Arial"/>
          <w:sz w:val="20"/>
          <w:szCs w:val="20"/>
          <w:lang w:val="en-US"/>
        </w:rPr>
        <w:t>End</w:t>
      </w:r>
      <w:r w:rsidR="0009531A">
        <w:rPr>
          <w:rFonts w:ascii="Arial" w:hAnsi="Arial" w:cs="Arial"/>
          <w:sz w:val="20"/>
          <w:szCs w:val="20"/>
          <w:lang w:val="en-US"/>
        </w:rPr>
        <w:t>-</w:t>
      </w:r>
      <w:r w:rsidRPr="00830AAB">
        <w:rPr>
          <w:rFonts w:ascii="Arial" w:hAnsi="Arial" w:cs="Arial"/>
          <w:sz w:val="20"/>
          <w:szCs w:val="20"/>
          <w:lang w:val="en-US"/>
        </w:rPr>
        <w:t>Stage Liver Disease</w:t>
      </w:r>
      <w:r w:rsidR="000934A5">
        <w:rPr>
          <w:rFonts w:ascii="Arial" w:hAnsi="Arial" w:cs="Arial"/>
          <w:sz w:val="20"/>
          <w:szCs w:val="20"/>
          <w:lang w:val="en-US"/>
        </w:rPr>
        <w:t>;</w:t>
      </w:r>
      <w:r w:rsidRPr="00830AAB">
        <w:rPr>
          <w:rFonts w:ascii="Arial" w:hAnsi="Arial" w:cs="Arial"/>
          <w:sz w:val="20"/>
          <w:szCs w:val="20"/>
          <w:lang w:val="en-US"/>
        </w:rPr>
        <w:t xml:space="preserve"> PL</w:t>
      </w:r>
      <w:r w:rsidRPr="00FA318E">
        <w:rPr>
          <w:rFonts w:ascii="Arial" w:hAnsi="Arial" w:cs="Arial"/>
          <w:sz w:val="20"/>
          <w:szCs w:val="20"/>
          <w:lang w:val="en-US"/>
        </w:rPr>
        <w:t>R</w:t>
      </w:r>
      <w:r w:rsidRPr="00830AAB">
        <w:rPr>
          <w:rFonts w:ascii="Arial" w:hAnsi="Arial" w:cs="Arial"/>
          <w:sz w:val="20"/>
          <w:szCs w:val="20"/>
          <w:lang w:val="en-US"/>
        </w:rPr>
        <w:t xml:space="preserve">: </w:t>
      </w:r>
      <w:r w:rsidRPr="00FA318E">
        <w:rPr>
          <w:rFonts w:ascii="Arial" w:hAnsi="Arial" w:cs="Arial"/>
          <w:sz w:val="20"/>
          <w:szCs w:val="20"/>
          <w:lang w:val="en-US"/>
        </w:rPr>
        <w:t>platelet-to-lymphocyte ratio</w:t>
      </w:r>
      <w:r w:rsidR="000934A5">
        <w:rPr>
          <w:rFonts w:ascii="Arial" w:hAnsi="Arial" w:cs="Arial"/>
          <w:sz w:val="20"/>
          <w:szCs w:val="20"/>
          <w:lang w:val="en-US"/>
        </w:rPr>
        <w:t xml:space="preserve">; </w:t>
      </w:r>
      <w:r w:rsidRPr="00830AAB">
        <w:rPr>
          <w:rFonts w:ascii="Arial" w:hAnsi="Arial" w:cs="Arial"/>
          <w:sz w:val="20"/>
          <w:szCs w:val="20"/>
          <w:lang w:val="en-US"/>
        </w:rPr>
        <w:t>ML</w:t>
      </w:r>
      <w:r w:rsidRPr="00FA318E">
        <w:rPr>
          <w:rFonts w:ascii="Arial" w:hAnsi="Arial" w:cs="Arial"/>
          <w:sz w:val="20"/>
          <w:szCs w:val="20"/>
          <w:lang w:val="en-US"/>
        </w:rPr>
        <w:t>R</w:t>
      </w:r>
      <w:r w:rsidRPr="00830AAB">
        <w:rPr>
          <w:rFonts w:ascii="Arial" w:hAnsi="Arial" w:cs="Arial"/>
          <w:sz w:val="20"/>
          <w:szCs w:val="20"/>
          <w:lang w:val="en-US"/>
        </w:rPr>
        <w:t xml:space="preserve">: </w:t>
      </w:r>
      <w:r w:rsidRPr="00FA318E">
        <w:rPr>
          <w:rFonts w:ascii="Arial" w:hAnsi="Arial" w:cs="Arial"/>
          <w:sz w:val="20"/>
          <w:szCs w:val="20"/>
          <w:lang w:val="en-US"/>
        </w:rPr>
        <w:t xml:space="preserve">monocyte-to-lymphocyte ratio </w:t>
      </w:r>
    </w:p>
    <w:p w14:paraId="0D6EDC16" w14:textId="77777777" w:rsidR="00322BE6" w:rsidRPr="000E51D0" w:rsidRDefault="00322BE6" w:rsidP="00322BE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E51D0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  <w:lang w:val="en-US" w:eastAsia="pt-BR"/>
        </w:rPr>
        <w:t xml:space="preserve">† </w:t>
      </w:r>
      <w:r w:rsidRPr="000E51D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% of patients with cirrhosis </w:t>
      </w:r>
    </w:p>
    <w:p w14:paraId="3E926A52" w14:textId="3A3B38A9" w:rsidR="00211ED8" w:rsidRDefault="00211ED8" w:rsidP="00B804C0">
      <w:pPr>
        <w:jc w:val="both"/>
        <w:rPr>
          <w:rFonts w:ascii="Arial" w:hAnsi="Arial" w:cs="Arial"/>
          <w:lang w:val="en-US"/>
        </w:rPr>
      </w:pPr>
    </w:p>
    <w:p w14:paraId="0CF98802" w14:textId="5BE37BAF" w:rsidR="000934A5" w:rsidRDefault="000934A5" w:rsidP="00B804C0">
      <w:pPr>
        <w:jc w:val="both"/>
        <w:rPr>
          <w:rFonts w:ascii="Arial" w:hAnsi="Arial" w:cs="Arial"/>
          <w:lang w:val="en-US"/>
        </w:rPr>
      </w:pPr>
    </w:p>
    <w:p w14:paraId="410CC2F0" w14:textId="42A0A7B6" w:rsidR="000934A5" w:rsidRDefault="000934A5" w:rsidP="00B804C0">
      <w:pPr>
        <w:jc w:val="both"/>
        <w:rPr>
          <w:rFonts w:ascii="Arial" w:hAnsi="Arial" w:cs="Arial"/>
          <w:lang w:val="en-US"/>
        </w:rPr>
      </w:pPr>
    </w:p>
    <w:p w14:paraId="284ED55F" w14:textId="77777777" w:rsidR="000934A5" w:rsidRDefault="000934A5" w:rsidP="00B804C0">
      <w:pPr>
        <w:jc w:val="both"/>
        <w:rPr>
          <w:rFonts w:ascii="Arial" w:hAnsi="Arial" w:cs="Arial"/>
          <w:lang w:val="en-US"/>
        </w:rPr>
      </w:pPr>
    </w:p>
    <w:p w14:paraId="77645955" w14:textId="52DA0B96" w:rsidR="000934A5" w:rsidRPr="00D22931" w:rsidRDefault="00D22931" w:rsidP="00D2293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proofErr w:type="spellStart"/>
      <w:r w:rsidRPr="00D22931">
        <w:rPr>
          <w:rFonts w:ascii="Arial" w:hAnsi="Arial" w:cs="Arial"/>
          <w:b/>
          <w:color w:val="000000" w:themeColor="text1"/>
          <w:lang w:val="en-US"/>
        </w:rPr>
        <w:t>sTable</w:t>
      </w:r>
      <w:proofErr w:type="spellEnd"/>
      <w:r w:rsidRPr="00D22931">
        <w:rPr>
          <w:rFonts w:ascii="Arial" w:hAnsi="Arial" w:cs="Arial"/>
          <w:b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lang w:val="en-US"/>
        </w:rPr>
        <w:t>2</w:t>
      </w:r>
      <w:r w:rsidRPr="00D22931">
        <w:rPr>
          <w:rFonts w:ascii="Arial" w:hAnsi="Arial" w:cs="Arial"/>
          <w:b/>
          <w:color w:val="000000" w:themeColor="text1"/>
          <w:lang w:val="en-US"/>
        </w:rPr>
        <w:t>.</w:t>
      </w:r>
      <w:r w:rsidRPr="00D22931">
        <w:rPr>
          <w:rFonts w:ascii="Arial" w:hAnsi="Arial" w:cs="Arial"/>
          <w:color w:val="000000" w:themeColor="text1"/>
          <w:lang w:val="en-US"/>
        </w:rPr>
        <w:t xml:space="preserve"> </w:t>
      </w:r>
      <w:r w:rsidRPr="00211ED8">
        <w:rPr>
          <w:rFonts w:ascii="Arial" w:hAnsi="Arial" w:cs="Arial"/>
          <w:bCs/>
          <w:lang w:val="en-US"/>
        </w:rPr>
        <w:t xml:space="preserve">Baseline characteristics of patients with low </w:t>
      </w:r>
      <w:r w:rsidRPr="00211ED8">
        <w:rPr>
          <w:rFonts w:ascii="Arial" w:hAnsi="Arial" w:cs="Arial"/>
          <w:color w:val="000000" w:themeColor="text1"/>
          <w:lang w:val="en-US"/>
        </w:rPr>
        <w:t>(</w:t>
      </w:r>
      <w:r w:rsidRPr="00211ED8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≤ </w:t>
      </w:r>
      <w:r>
        <w:rPr>
          <w:rFonts w:ascii="Arial" w:hAnsi="Arial" w:cs="Arial"/>
          <w:color w:val="000000" w:themeColor="text1"/>
          <w:lang w:val="en-US"/>
        </w:rPr>
        <w:t>2.475</w:t>
      </w:r>
      <w:r w:rsidRPr="00211ED8">
        <w:rPr>
          <w:rFonts w:ascii="Arial" w:hAnsi="Arial" w:cs="Arial"/>
          <w:color w:val="000000" w:themeColor="text1"/>
          <w:lang w:val="en-US"/>
        </w:rPr>
        <w:t xml:space="preserve">) </w:t>
      </w:r>
      <w:r>
        <w:rPr>
          <w:rFonts w:ascii="Arial" w:hAnsi="Arial" w:cs="Arial"/>
          <w:color w:val="000000" w:themeColor="text1"/>
          <w:lang w:val="en-US"/>
        </w:rPr>
        <w:t xml:space="preserve">and </w:t>
      </w:r>
      <w:r w:rsidRPr="00211ED8">
        <w:rPr>
          <w:rFonts w:ascii="Arial" w:hAnsi="Arial" w:cs="Arial"/>
          <w:bCs/>
          <w:lang w:val="en-US"/>
        </w:rPr>
        <w:t xml:space="preserve">high </w:t>
      </w:r>
      <w:r w:rsidRPr="00211ED8">
        <w:rPr>
          <w:rFonts w:ascii="Arial" w:hAnsi="Arial" w:cs="Arial"/>
          <w:color w:val="000000" w:themeColor="text1"/>
          <w:lang w:val="en-US"/>
        </w:rPr>
        <w:t xml:space="preserve">(&gt; </w:t>
      </w:r>
      <w:r>
        <w:rPr>
          <w:rFonts w:ascii="Arial" w:hAnsi="Arial" w:cs="Arial"/>
          <w:color w:val="000000" w:themeColor="text1"/>
          <w:lang w:val="en-US"/>
        </w:rPr>
        <w:t>2.475</w:t>
      </w:r>
      <w:r w:rsidRPr="00211ED8">
        <w:rPr>
          <w:rFonts w:ascii="Arial" w:hAnsi="Arial" w:cs="Arial"/>
          <w:color w:val="000000" w:themeColor="text1"/>
          <w:lang w:val="en-US"/>
        </w:rPr>
        <w:t>) neutrophil-to-lymphocyte ratio</w:t>
      </w:r>
      <w:r>
        <w:rPr>
          <w:rFonts w:ascii="Arial" w:hAnsi="Arial" w:cs="Arial"/>
          <w:color w:val="000000" w:themeColor="text1"/>
          <w:lang w:val="en-US"/>
        </w:rPr>
        <w:t xml:space="preserve"> (NLR)</w:t>
      </w:r>
    </w:p>
    <w:tbl>
      <w:tblPr>
        <w:tblStyle w:val="SimplesTabela2"/>
        <w:tblW w:w="4942" w:type="pct"/>
        <w:tblLayout w:type="fixed"/>
        <w:tblLook w:val="04A0" w:firstRow="1" w:lastRow="0" w:firstColumn="1" w:lastColumn="0" w:noHBand="0" w:noVBand="1"/>
      </w:tblPr>
      <w:tblGrid>
        <w:gridCol w:w="3838"/>
        <w:gridCol w:w="1833"/>
        <w:gridCol w:w="1902"/>
        <w:gridCol w:w="826"/>
      </w:tblGrid>
      <w:tr w:rsidR="000934A5" w:rsidRPr="00EF6BAB" w14:paraId="15AF4CB2" w14:textId="77777777" w:rsidTr="00195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tcBorders>
              <w:top w:val="single" w:sz="4" w:space="0" w:color="7F7F7F" w:themeColor="text1" w:themeTint="80"/>
              <w:bottom w:val="nil"/>
            </w:tcBorders>
            <w:noWrap/>
          </w:tcPr>
          <w:p w14:paraId="7DCC7D5A" w14:textId="77777777" w:rsidR="000934A5" w:rsidRPr="000934A5" w:rsidRDefault="000934A5" w:rsidP="000934A5">
            <w:pPr>
              <w:spacing w:before="80" w:after="80"/>
              <w:contextualSpacing/>
              <w:rPr>
                <w:rFonts w:ascii="Arial" w:eastAsia="MS Mincho" w:hAnsi="Arial" w:cs="Arial"/>
                <w:b w:val="0"/>
                <w:bCs w:val="0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222" w:type="pct"/>
            <w:gridSpan w:val="2"/>
            <w:tcBorders>
              <w:top w:val="single" w:sz="4" w:space="0" w:color="7F7F7F" w:themeColor="text1" w:themeTint="80"/>
              <w:bottom w:val="nil"/>
            </w:tcBorders>
            <w:noWrap/>
          </w:tcPr>
          <w:p w14:paraId="28F1CFB8" w14:textId="2BDD9886" w:rsidR="000934A5" w:rsidRPr="00970BC1" w:rsidRDefault="000934A5" w:rsidP="000934A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70BC1">
              <w:rPr>
                <w:rFonts w:ascii="Arial" w:hAnsi="Arial" w:cs="Arial"/>
                <w:color w:val="000000" w:themeColor="text1"/>
                <w:sz w:val="21"/>
                <w:szCs w:val="21"/>
              </w:rPr>
              <w:t>NL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R</w:t>
            </w:r>
          </w:p>
        </w:tc>
        <w:tc>
          <w:tcPr>
            <w:tcW w:w="493" w:type="pct"/>
            <w:tcBorders>
              <w:top w:val="single" w:sz="4" w:space="0" w:color="7F7F7F" w:themeColor="text1" w:themeTint="80"/>
              <w:bottom w:val="nil"/>
            </w:tcBorders>
          </w:tcPr>
          <w:p w14:paraId="5FBAA095" w14:textId="77777777" w:rsidR="000934A5" w:rsidRDefault="000934A5" w:rsidP="000934A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</w:tr>
      <w:tr w:rsidR="000934A5" w:rsidRPr="00EF6BAB" w14:paraId="576C5E24" w14:textId="77777777" w:rsidTr="0019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tcBorders>
              <w:top w:val="nil"/>
            </w:tcBorders>
            <w:noWrap/>
          </w:tcPr>
          <w:p w14:paraId="011E16F8" w14:textId="77777777" w:rsidR="000934A5" w:rsidRPr="00867B23" w:rsidRDefault="000934A5" w:rsidP="000934A5">
            <w:pPr>
              <w:spacing w:before="80" w:after="80"/>
              <w:contextualSpacing/>
              <w:rPr>
                <w:rFonts w:ascii="Arial" w:eastAsia="MS Mincho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91" w:type="pct"/>
            <w:tcBorders>
              <w:top w:val="nil"/>
            </w:tcBorders>
            <w:noWrap/>
          </w:tcPr>
          <w:p w14:paraId="7A63D473" w14:textId="358675E2" w:rsidR="000934A5" w:rsidRPr="00867B23" w:rsidRDefault="000934A5" w:rsidP="000934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9535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≤ </w:t>
            </w:r>
            <w:r w:rsidRPr="0019535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2.475</w:t>
            </w:r>
          </w:p>
        </w:tc>
        <w:tc>
          <w:tcPr>
            <w:tcW w:w="1132" w:type="pct"/>
            <w:tcBorders>
              <w:top w:val="nil"/>
            </w:tcBorders>
            <w:noWrap/>
          </w:tcPr>
          <w:p w14:paraId="62DA2DFF" w14:textId="3CA52692" w:rsidR="000934A5" w:rsidRPr="00867B23" w:rsidRDefault="000934A5" w:rsidP="000934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867B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&gt;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867B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.</w:t>
            </w:r>
            <w:r w:rsidRPr="00867B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475</w:t>
            </w:r>
          </w:p>
        </w:tc>
        <w:tc>
          <w:tcPr>
            <w:tcW w:w="493" w:type="pct"/>
            <w:tcBorders>
              <w:top w:val="nil"/>
            </w:tcBorders>
          </w:tcPr>
          <w:p w14:paraId="67237C81" w14:textId="7DAE4518" w:rsidR="000934A5" w:rsidRDefault="000934A5" w:rsidP="000934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P</w:t>
            </w:r>
          </w:p>
        </w:tc>
      </w:tr>
      <w:tr w:rsidR="000934A5" w:rsidRPr="00867B23" w14:paraId="012262F5" w14:textId="77777777" w:rsidTr="0019535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noWrap/>
          </w:tcPr>
          <w:p w14:paraId="0B5DBB81" w14:textId="77777777" w:rsidR="000934A5" w:rsidRPr="003B6E1F" w:rsidRDefault="000934A5" w:rsidP="000934A5">
            <w:pPr>
              <w:spacing w:before="80" w:after="80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Age (years)</w:t>
            </w:r>
          </w:p>
          <w:p w14:paraId="25EF050E" w14:textId="77777777" w:rsidR="000934A5" w:rsidRPr="003B6E1F" w:rsidRDefault="000934A5" w:rsidP="000934A5">
            <w:pPr>
              <w:spacing w:before="80" w:after="80"/>
              <w:ind w:left="720"/>
              <w:contextualSpacing/>
              <w:rPr>
                <w:rFonts w:ascii="Arial" w:eastAsia="MS Mincho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mean ± SD</w:t>
            </w:r>
          </w:p>
          <w:p w14:paraId="0383312E" w14:textId="5DA19E9C" w:rsidR="000934A5" w:rsidRPr="000934A5" w:rsidRDefault="000934A5" w:rsidP="000934A5">
            <w:pPr>
              <w:ind w:firstLine="709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median (min-max)</w:t>
            </w:r>
          </w:p>
        </w:tc>
        <w:tc>
          <w:tcPr>
            <w:tcW w:w="1091" w:type="pct"/>
            <w:noWrap/>
          </w:tcPr>
          <w:p w14:paraId="5B025500" w14:textId="77777777" w:rsidR="000934A5" w:rsidRPr="000934A5" w:rsidRDefault="000934A5" w:rsidP="000934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383D00C" w14:textId="77777777" w:rsidR="000934A5" w:rsidRPr="00867B23" w:rsidRDefault="000934A5" w:rsidP="000934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  <w:p w14:paraId="72D1172D" w14:textId="77777777" w:rsidR="000934A5" w:rsidRPr="00867B23" w:rsidRDefault="000934A5" w:rsidP="000934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64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18-86</w:t>
            </w: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noWrap/>
          </w:tcPr>
          <w:p w14:paraId="5A7309BD" w14:textId="77777777" w:rsidR="000934A5" w:rsidRPr="00867B23" w:rsidRDefault="000934A5" w:rsidP="000934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498330" w14:textId="77777777" w:rsidR="000934A5" w:rsidRPr="00867B23" w:rsidRDefault="000934A5" w:rsidP="000934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14:paraId="413A6EA7" w14:textId="77777777" w:rsidR="000934A5" w:rsidRPr="00867B23" w:rsidRDefault="000934A5" w:rsidP="000934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61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-7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3" w:type="pct"/>
          </w:tcPr>
          <w:p w14:paraId="79B3C891" w14:textId="57D0CC9F" w:rsidR="000934A5" w:rsidRPr="00867B23" w:rsidRDefault="000934A5" w:rsidP="000934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7B2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7B23">
              <w:rPr>
                <w:rFonts w:ascii="Arial" w:hAnsi="Arial" w:cs="Arial"/>
                <w:sz w:val="20"/>
                <w:szCs w:val="20"/>
              </w:rPr>
              <w:t>773</w:t>
            </w:r>
          </w:p>
        </w:tc>
      </w:tr>
      <w:tr w:rsidR="000934A5" w:rsidRPr="00867B23" w14:paraId="5526F29D" w14:textId="77777777" w:rsidTr="0019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noWrap/>
            <w:hideMark/>
          </w:tcPr>
          <w:p w14:paraId="11565D69" w14:textId="77777777" w:rsidR="000934A5" w:rsidRPr="003B6E1F" w:rsidRDefault="000934A5" w:rsidP="000934A5">
            <w:pPr>
              <w:spacing w:before="80" w:after="80"/>
              <w:contextualSpacing/>
              <w:rPr>
                <w:rFonts w:ascii="Arial" w:eastAsia="MS Mincho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Gender (%)</w:t>
            </w:r>
          </w:p>
          <w:p w14:paraId="394A3241" w14:textId="77777777" w:rsidR="000934A5" w:rsidRPr="003B6E1F" w:rsidRDefault="000934A5" w:rsidP="000934A5">
            <w:pPr>
              <w:spacing w:before="80" w:after="80"/>
              <w:ind w:left="720"/>
              <w:contextualSpacing/>
              <w:rPr>
                <w:rFonts w:ascii="Arial" w:eastAsia="MS Mincho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  <w:p w14:paraId="47D84DB3" w14:textId="6E76A86C" w:rsidR="000934A5" w:rsidRPr="00516AB5" w:rsidRDefault="000934A5" w:rsidP="000934A5">
            <w:pPr>
              <w:ind w:left="7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E1F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91" w:type="pct"/>
            <w:noWrap/>
            <w:hideMark/>
          </w:tcPr>
          <w:p w14:paraId="5029A2F2" w14:textId="77777777" w:rsidR="000934A5" w:rsidRPr="00516AB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85CEC5D" w14:textId="3597374B" w:rsidR="000934A5" w:rsidRPr="00516AB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AB5">
              <w:rPr>
                <w:rFonts w:ascii="Arial" w:hAnsi="Arial" w:cs="Arial"/>
                <w:color w:val="000000" w:themeColor="text1"/>
                <w:sz w:val="20"/>
                <w:szCs w:val="20"/>
              </w:rPr>
              <w:t>69 (63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16AB5">
              <w:rPr>
                <w:rFonts w:ascii="Arial" w:hAnsi="Arial" w:cs="Arial"/>
                <w:color w:val="000000" w:themeColor="text1"/>
                <w:sz w:val="20"/>
                <w:szCs w:val="20"/>
              </w:rPr>
              <w:t>3%)</w:t>
            </w:r>
          </w:p>
          <w:p w14:paraId="4FE48C71" w14:textId="43C6D620" w:rsidR="000934A5" w:rsidRPr="00516AB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AB5">
              <w:rPr>
                <w:rFonts w:ascii="Arial" w:hAnsi="Arial" w:cs="Arial"/>
                <w:color w:val="000000" w:themeColor="text1"/>
                <w:sz w:val="20"/>
                <w:szCs w:val="20"/>
              </w:rPr>
              <w:t>40 (36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16AB5">
              <w:rPr>
                <w:rFonts w:ascii="Arial" w:hAnsi="Arial" w:cs="Arial"/>
                <w:color w:val="000000" w:themeColor="text1"/>
                <w:sz w:val="20"/>
                <w:szCs w:val="20"/>
              </w:rPr>
              <w:t>7%)</w:t>
            </w:r>
          </w:p>
        </w:tc>
        <w:tc>
          <w:tcPr>
            <w:tcW w:w="1132" w:type="pct"/>
            <w:noWrap/>
            <w:hideMark/>
          </w:tcPr>
          <w:p w14:paraId="0DECB108" w14:textId="77777777" w:rsidR="000934A5" w:rsidRPr="00516AB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503B8C" w14:textId="39477EC0" w:rsidR="000934A5" w:rsidRPr="00516AB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AB5">
              <w:rPr>
                <w:rFonts w:ascii="Arial" w:hAnsi="Arial" w:cs="Arial"/>
                <w:color w:val="000000" w:themeColor="text1"/>
                <w:sz w:val="20"/>
                <w:szCs w:val="20"/>
              </w:rPr>
              <w:t>33 (78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16A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6%) </w:t>
            </w:r>
          </w:p>
          <w:p w14:paraId="3D095A2D" w14:textId="6B96916B" w:rsidR="000934A5" w:rsidRPr="00516AB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AB5">
              <w:rPr>
                <w:rFonts w:ascii="Arial" w:hAnsi="Arial" w:cs="Arial"/>
                <w:color w:val="000000" w:themeColor="text1"/>
                <w:sz w:val="20"/>
                <w:szCs w:val="20"/>
              </w:rPr>
              <w:t>9 (21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16AB5">
              <w:rPr>
                <w:rFonts w:ascii="Arial" w:hAnsi="Arial" w:cs="Arial"/>
                <w:color w:val="000000" w:themeColor="text1"/>
                <w:sz w:val="20"/>
                <w:szCs w:val="20"/>
              </w:rPr>
              <w:t>4%)</w:t>
            </w:r>
          </w:p>
        </w:tc>
        <w:tc>
          <w:tcPr>
            <w:tcW w:w="493" w:type="pct"/>
          </w:tcPr>
          <w:p w14:paraId="2AD554E7" w14:textId="14EC0C04" w:rsidR="000934A5" w:rsidRPr="00867B23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</w:tr>
      <w:tr w:rsidR="000934A5" w:rsidRPr="00867B23" w14:paraId="31FECF9F" w14:textId="77777777" w:rsidTr="0019535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noWrap/>
            <w:hideMark/>
          </w:tcPr>
          <w:p w14:paraId="7792ED78" w14:textId="77777777" w:rsidR="000934A5" w:rsidRPr="003B6E1F" w:rsidRDefault="000934A5" w:rsidP="000934A5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Cirrhosis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(%)</w:t>
            </w:r>
          </w:p>
          <w:p w14:paraId="5AACFF24" w14:textId="77777777" w:rsidR="000934A5" w:rsidRPr="003B6E1F" w:rsidRDefault="000934A5" w:rsidP="000934A5">
            <w:pPr>
              <w:ind w:left="708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  <w:p w14:paraId="7B277DA6" w14:textId="39C4ED4F" w:rsidR="000934A5" w:rsidRPr="00516AB5" w:rsidRDefault="000934A5" w:rsidP="000934A5">
            <w:pPr>
              <w:ind w:left="708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091" w:type="pct"/>
            <w:noWrap/>
            <w:hideMark/>
          </w:tcPr>
          <w:p w14:paraId="350C4310" w14:textId="77777777" w:rsidR="000934A5" w:rsidRP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759D19" w14:textId="0E47E698" w:rsidR="000934A5" w:rsidRP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</w:rPr>
              <w:t>91 (83.5%)</w:t>
            </w:r>
          </w:p>
          <w:p w14:paraId="65188B37" w14:textId="20938466" w:rsidR="000934A5" w:rsidRP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</w:rPr>
              <w:t>18 (16.5%)</w:t>
            </w:r>
          </w:p>
        </w:tc>
        <w:tc>
          <w:tcPr>
            <w:tcW w:w="1132" w:type="pct"/>
            <w:noWrap/>
            <w:hideMark/>
          </w:tcPr>
          <w:p w14:paraId="79A1B397" w14:textId="77777777" w:rsidR="000934A5" w:rsidRP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73964D" w14:textId="162809FE" w:rsidR="000934A5" w:rsidRP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</w:rPr>
              <w:t>36 (85.7%)</w:t>
            </w:r>
          </w:p>
          <w:p w14:paraId="2C59D7EC" w14:textId="77777777" w:rsidR="000934A5" w:rsidRP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</w:rPr>
              <w:t>6 (14.3%)</w:t>
            </w:r>
          </w:p>
        </w:tc>
        <w:tc>
          <w:tcPr>
            <w:tcW w:w="493" w:type="pct"/>
          </w:tcPr>
          <w:p w14:paraId="0DBD4B4F" w14:textId="317AF598" w:rsidR="000934A5" w:rsidRPr="00867B23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0934A5" w:rsidRPr="00867B23" w14:paraId="37623F37" w14:textId="77777777" w:rsidTr="0019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noWrap/>
            <w:hideMark/>
          </w:tcPr>
          <w:p w14:paraId="2B584CC5" w14:textId="77777777" w:rsidR="000934A5" w:rsidRPr="003B6E1F" w:rsidRDefault="000934A5" w:rsidP="000934A5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Portal hypertension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(%)</w:t>
            </w:r>
          </w:p>
          <w:p w14:paraId="7585DC02" w14:textId="77777777" w:rsidR="000934A5" w:rsidRPr="003B6E1F" w:rsidRDefault="000934A5" w:rsidP="000934A5">
            <w:pPr>
              <w:ind w:left="708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  <w:p w14:paraId="650C42EA" w14:textId="2B562CA4" w:rsidR="000934A5" w:rsidRPr="00516AB5" w:rsidRDefault="000934A5" w:rsidP="000934A5">
            <w:pPr>
              <w:ind w:left="708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091" w:type="pct"/>
            <w:noWrap/>
            <w:hideMark/>
          </w:tcPr>
          <w:p w14:paraId="2270012C" w14:textId="77777777" w:rsidR="000934A5" w:rsidRPr="000934A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E9B99F" w14:textId="12CDA758" w:rsidR="000934A5" w:rsidRPr="000934A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</w:rPr>
              <w:t>28 (</w:t>
            </w:r>
            <w:r w:rsidR="0014755D">
              <w:rPr>
                <w:rFonts w:ascii="Arial" w:hAnsi="Arial" w:cs="Arial"/>
                <w:color w:val="000000" w:themeColor="text1"/>
                <w:sz w:val="20"/>
                <w:szCs w:val="20"/>
              </w:rPr>
              <w:t>25.7</w:t>
            </w: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</w:rPr>
              <w:t>%)</w:t>
            </w:r>
          </w:p>
          <w:p w14:paraId="4A82CAEC" w14:textId="6D59A08F" w:rsidR="000934A5" w:rsidRPr="000934A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</w:rPr>
              <w:t>57 (</w:t>
            </w:r>
            <w:r w:rsidR="0014755D">
              <w:rPr>
                <w:rFonts w:ascii="Arial" w:hAnsi="Arial" w:cs="Arial"/>
                <w:color w:val="000000" w:themeColor="text1"/>
                <w:sz w:val="20"/>
                <w:szCs w:val="20"/>
              </w:rPr>
              <w:t>74.3</w:t>
            </w: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132" w:type="pct"/>
            <w:noWrap/>
            <w:hideMark/>
          </w:tcPr>
          <w:p w14:paraId="16AFA87D" w14:textId="77777777" w:rsidR="000934A5" w:rsidRPr="000934A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DF7456" w14:textId="7FEF7B62" w:rsidR="000934A5" w:rsidRPr="000934A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</w:rPr>
              <w:t>11 (30.6%)</w:t>
            </w:r>
          </w:p>
          <w:p w14:paraId="767EF888" w14:textId="15E29865" w:rsidR="000934A5" w:rsidRPr="000934A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</w:rPr>
              <w:t>25 (69.4%)</w:t>
            </w:r>
          </w:p>
        </w:tc>
        <w:tc>
          <w:tcPr>
            <w:tcW w:w="493" w:type="pct"/>
          </w:tcPr>
          <w:p w14:paraId="00116BD3" w14:textId="7AF50CAC" w:rsidR="000934A5" w:rsidRPr="00867B23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835</w:t>
            </w:r>
          </w:p>
        </w:tc>
      </w:tr>
      <w:tr w:rsidR="000934A5" w:rsidRPr="00867B23" w14:paraId="272B664B" w14:textId="77777777" w:rsidTr="0019535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noWrap/>
          </w:tcPr>
          <w:p w14:paraId="7F07FF8A" w14:textId="77777777" w:rsidR="000934A5" w:rsidRPr="003B6E1F" w:rsidRDefault="000934A5" w:rsidP="000934A5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Esophageal varices</w:t>
            </w:r>
            <w:r w:rsidRPr="003B6E1F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(%)</w:t>
            </w:r>
          </w:p>
          <w:p w14:paraId="70E350E2" w14:textId="77777777" w:rsidR="000934A5" w:rsidRPr="003B6E1F" w:rsidRDefault="000934A5" w:rsidP="000934A5">
            <w:pPr>
              <w:ind w:left="708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  <w:p w14:paraId="19C307D5" w14:textId="5BA2E2C3" w:rsidR="000934A5" w:rsidRPr="00516AB5" w:rsidRDefault="000934A5" w:rsidP="000934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091" w:type="pct"/>
            <w:noWrap/>
          </w:tcPr>
          <w:p w14:paraId="6A10231C" w14:textId="77777777" w:rsidR="000934A5" w:rsidRP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1FD3E0" w14:textId="2179308C" w:rsidR="000934A5" w:rsidRP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</w:rPr>
              <w:t>15 (13.8%)</w:t>
            </w:r>
          </w:p>
          <w:p w14:paraId="480FDEAA" w14:textId="08A0A552" w:rsidR="000934A5" w:rsidRP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</w:rPr>
              <w:t>94 (86.2%)</w:t>
            </w:r>
          </w:p>
        </w:tc>
        <w:tc>
          <w:tcPr>
            <w:tcW w:w="1132" w:type="pct"/>
            <w:noWrap/>
          </w:tcPr>
          <w:p w14:paraId="23DDF2A1" w14:textId="77777777" w:rsidR="000934A5" w:rsidRP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B1E049" w14:textId="23F35525" w:rsidR="000934A5" w:rsidRP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</w:rPr>
              <w:t>7 (16.7%)</w:t>
            </w:r>
          </w:p>
          <w:p w14:paraId="06F6032D" w14:textId="7290D7FF" w:rsidR="000934A5" w:rsidRP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</w:rPr>
              <w:t>35 (83.3%)</w:t>
            </w:r>
          </w:p>
        </w:tc>
        <w:tc>
          <w:tcPr>
            <w:tcW w:w="493" w:type="pct"/>
          </w:tcPr>
          <w:p w14:paraId="26E480BC" w14:textId="5E71029E" w:rsidR="000934A5" w:rsidRPr="00867B23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0.617</w:t>
            </w:r>
          </w:p>
        </w:tc>
      </w:tr>
      <w:tr w:rsidR="000934A5" w:rsidRPr="00867B23" w14:paraId="1DC9DEF5" w14:textId="77777777" w:rsidTr="0019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noWrap/>
            <w:hideMark/>
          </w:tcPr>
          <w:p w14:paraId="0E8A6AD4" w14:textId="230BDC19" w:rsidR="000934A5" w:rsidRPr="003B6E1F" w:rsidRDefault="000934A5" w:rsidP="000934A5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Child-Pugh (</w:t>
            </w:r>
            <w:proofErr w:type="gramStart"/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%)</w:t>
            </w:r>
            <w:proofErr w:type="gramEnd"/>
            <w:r w:rsidR="00FA65B3" w:rsidRPr="005A075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US" w:eastAsia="pt-BR"/>
              </w:rPr>
              <w:t>†</w:t>
            </w:r>
          </w:p>
          <w:p w14:paraId="6F30FDC9" w14:textId="77777777" w:rsidR="000934A5" w:rsidRPr="003B6E1F" w:rsidRDefault="000934A5" w:rsidP="000934A5">
            <w:pPr>
              <w:ind w:left="708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A5</w:t>
            </w:r>
          </w:p>
          <w:p w14:paraId="4584FFC1" w14:textId="77777777" w:rsidR="000934A5" w:rsidRPr="003B6E1F" w:rsidRDefault="000934A5" w:rsidP="000934A5">
            <w:pPr>
              <w:ind w:left="708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A6</w:t>
            </w:r>
          </w:p>
          <w:p w14:paraId="3AAF5A73" w14:textId="1A547325" w:rsidR="000934A5" w:rsidRPr="00F41C66" w:rsidRDefault="000934A5" w:rsidP="000934A5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6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B7</w:t>
            </w:r>
          </w:p>
        </w:tc>
        <w:tc>
          <w:tcPr>
            <w:tcW w:w="1091" w:type="pct"/>
            <w:noWrap/>
            <w:hideMark/>
          </w:tcPr>
          <w:p w14:paraId="742DC42B" w14:textId="77777777" w:rsidR="000934A5" w:rsidRPr="00F41C66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1ACB9006" w14:textId="77A3F44A" w:rsidR="000934A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76 (84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4755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  <w:p w14:paraId="0E60E6F6" w14:textId="0E581E76" w:rsidR="000934A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11 (12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4755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  <w:p w14:paraId="3689285C" w14:textId="594D401C" w:rsidR="000934A5" w:rsidRPr="00867B23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3 (3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3%)</w:t>
            </w:r>
          </w:p>
        </w:tc>
        <w:tc>
          <w:tcPr>
            <w:tcW w:w="1132" w:type="pct"/>
            <w:noWrap/>
            <w:hideMark/>
          </w:tcPr>
          <w:p w14:paraId="46DE25B7" w14:textId="77777777" w:rsidR="000934A5" w:rsidRPr="00687444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59C495" w14:textId="2D7AAD52" w:rsidR="000934A5" w:rsidRPr="00687444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44">
              <w:rPr>
                <w:rFonts w:ascii="Arial" w:hAnsi="Arial" w:cs="Arial"/>
                <w:color w:val="000000"/>
                <w:sz w:val="20"/>
                <w:szCs w:val="20"/>
              </w:rPr>
              <w:t>30 (88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4755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87444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  <w:p w14:paraId="35D75F92" w14:textId="3CA5806C" w:rsidR="000934A5" w:rsidRPr="00687444" w:rsidRDefault="0014755D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r w:rsidR="000934A5" w:rsidRPr="0068744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  <w:r w:rsidR="000934A5" w:rsidRPr="00687444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  <w:p w14:paraId="227A3CE8" w14:textId="11636F94" w:rsidR="000934A5" w:rsidRPr="00687444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7444">
              <w:rPr>
                <w:rFonts w:ascii="Arial" w:hAnsi="Arial" w:cs="Arial"/>
                <w:color w:val="000000"/>
                <w:sz w:val="20"/>
                <w:szCs w:val="20"/>
              </w:rPr>
              <w:t>2 (5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4755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687444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493" w:type="pct"/>
          </w:tcPr>
          <w:p w14:paraId="467F5417" w14:textId="193FFC32" w:rsidR="000934A5" w:rsidRPr="00687444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4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87444"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</w:tr>
      <w:tr w:rsidR="000934A5" w:rsidRPr="00867B23" w14:paraId="505B5414" w14:textId="77777777" w:rsidTr="0019535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noWrap/>
          </w:tcPr>
          <w:p w14:paraId="7B0B5994" w14:textId="77777777" w:rsidR="000934A5" w:rsidRPr="003C0848" w:rsidRDefault="000934A5" w:rsidP="000934A5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MELD</w:t>
            </w:r>
          </w:p>
          <w:p w14:paraId="7D7883F0" w14:textId="77777777" w:rsidR="000934A5" w:rsidRPr="003C0848" w:rsidRDefault="000934A5" w:rsidP="000934A5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mean ± SD</w:t>
            </w:r>
          </w:p>
          <w:p w14:paraId="10B51486" w14:textId="136A9416" w:rsidR="000934A5" w:rsidRPr="000934A5" w:rsidRDefault="000934A5" w:rsidP="000934A5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median (</w:t>
            </w:r>
            <w:r w:rsidRPr="003C0848">
              <w:rPr>
                <w:rFonts w:ascii="Arial" w:hAnsi="Arial" w:cs="Arial"/>
                <w:sz w:val="20"/>
                <w:szCs w:val="20"/>
                <w:lang w:val="en-US" w:bidi="en-US"/>
              </w:rPr>
              <w:t>quartile 25-75</w:t>
            </w: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91" w:type="pct"/>
            <w:noWrap/>
          </w:tcPr>
          <w:p w14:paraId="0DE12137" w14:textId="77777777" w:rsidR="000934A5" w:rsidRP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10C3E7DE" w14:textId="77777777" w:rsidR="000934A5" w:rsidRPr="00687444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87444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874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14:paraId="46A2DB8E" w14:textId="77777777" w:rsidR="000934A5" w:rsidRPr="00867B23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87444">
              <w:rPr>
                <w:rFonts w:ascii="Arial" w:hAnsi="Arial" w:cs="Arial"/>
                <w:color w:val="000000"/>
                <w:sz w:val="20"/>
                <w:szCs w:val="20"/>
              </w:rPr>
              <w:t>(7-9)</w:t>
            </w:r>
          </w:p>
        </w:tc>
        <w:tc>
          <w:tcPr>
            <w:tcW w:w="1132" w:type="pct"/>
            <w:noWrap/>
          </w:tcPr>
          <w:p w14:paraId="70CDC15B" w14:textId="77777777" w:rsidR="000934A5" w:rsidRPr="00687444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7FBA0B" w14:textId="77777777" w:rsidR="000934A5" w:rsidRPr="00687444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4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87444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874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14:paraId="5F1106BF" w14:textId="77777777" w:rsidR="000934A5" w:rsidRPr="00687444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44">
              <w:rPr>
                <w:rFonts w:ascii="Arial" w:hAnsi="Arial" w:cs="Arial"/>
                <w:color w:val="000000"/>
                <w:sz w:val="20"/>
                <w:szCs w:val="20"/>
              </w:rPr>
              <w:t>8 (7-10)</w:t>
            </w:r>
          </w:p>
        </w:tc>
        <w:tc>
          <w:tcPr>
            <w:tcW w:w="493" w:type="pct"/>
          </w:tcPr>
          <w:p w14:paraId="2B3CA38E" w14:textId="09513CFB" w:rsidR="000934A5" w:rsidRPr="00687444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44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87444"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</w:tr>
      <w:tr w:rsidR="000934A5" w:rsidRPr="00A21E3B" w14:paraId="73ABD1CC" w14:textId="77777777" w:rsidTr="0019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noWrap/>
          </w:tcPr>
          <w:p w14:paraId="2D247CF4" w14:textId="77777777" w:rsidR="000934A5" w:rsidRPr="003C0848" w:rsidRDefault="000934A5" w:rsidP="000934A5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Bilirubin (g/dL)</w:t>
            </w:r>
          </w:p>
          <w:p w14:paraId="6BDA5D00" w14:textId="77777777" w:rsidR="000934A5" w:rsidRPr="003C0848" w:rsidRDefault="000934A5" w:rsidP="000934A5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mean ± SD</w:t>
            </w:r>
          </w:p>
          <w:p w14:paraId="0397F1F9" w14:textId="332ECA54" w:rsidR="000934A5" w:rsidRPr="000934A5" w:rsidRDefault="000934A5" w:rsidP="000934A5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median (</w:t>
            </w:r>
            <w:r w:rsidRPr="003C0848">
              <w:rPr>
                <w:rFonts w:ascii="Arial" w:hAnsi="Arial" w:cs="Arial"/>
                <w:sz w:val="20"/>
                <w:szCs w:val="20"/>
                <w:lang w:val="en-US" w:bidi="en-US"/>
              </w:rPr>
              <w:t>quartile 25-75</w:t>
            </w: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91" w:type="pct"/>
            <w:noWrap/>
          </w:tcPr>
          <w:p w14:paraId="772A8F6E" w14:textId="77777777" w:rsidR="000934A5" w:rsidRPr="000934A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36CD7515" w14:textId="452B8930" w:rsidR="000934A5" w:rsidRPr="00A21E3B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21E3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1E3B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1E3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21E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14:paraId="031185DE" w14:textId="251CAA36" w:rsidR="000934A5" w:rsidRPr="00A21E3B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21E3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1E3B">
              <w:rPr>
                <w:rFonts w:ascii="Arial" w:hAnsi="Arial" w:cs="Arial"/>
                <w:color w:val="000000"/>
                <w:sz w:val="20"/>
                <w:szCs w:val="20"/>
              </w:rPr>
              <w:t>(0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21E3B">
              <w:rPr>
                <w:rFonts w:ascii="Arial" w:hAnsi="Arial" w:cs="Arial"/>
                <w:color w:val="000000"/>
                <w:sz w:val="20"/>
                <w:szCs w:val="20"/>
              </w:rPr>
              <w:t>5-0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21E3B">
              <w:rPr>
                <w:rFonts w:ascii="Arial" w:hAnsi="Arial" w:cs="Arial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132" w:type="pct"/>
            <w:noWrap/>
          </w:tcPr>
          <w:p w14:paraId="524943F4" w14:textId="77777777" w:rsidR="000934A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C0CB39" w14:textId="53CD5579" w:rsidR="000934A5" w:rsidRPr="00A21E3B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21E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1E3B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1E3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21E3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14:paraId="0241238D" w14:textId="145BB8AD" w:rsidR="000934A5" w:rsidRPr="00A21E3B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21E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1E3B">
              <w:rPr>
                <w:rFonts w:ascii="Arial" w:hAnsi="Arial" w:cs="Arial"/>
                <w:color w:val="000000"/>
                <w:sz w:val="20"/>
                <w:szCs w:val="20"/>
              </w:rPr>
              <w:t>(0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21E3B">
              <w:rPr>
                <w:rFonts w:ascii="Arial" w:hAnsi="Arial" w:cs="Arial"/>
                <w:color w:val="000000"/>
                <w:sz w:val="20"/>
                <w:szCs w:val="20"/>
              </w:rPr>
              <w:t>5-0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21E3B">
              <w:rPr>
                <w:rFonts w:ascii="Arial" w:hAnsi="Arial" w:cs="Arial"/>
                <w:color w:val="000000"/>
                <w:sz w:val="20"/>
                <w:szCs w:val="20"/>
              </w:rPr>
              <w:t>9)</w:t>
            </w:r>
          </w:p>
        </w:tc>
        <w:tc>
          <w:tcPr>
            <w:tcW w:w="493" w:type="pct"/>
          </w:tcPr>
          <w:p w14:paraId="17FD8389" w14:textId="3129BDE4" w:rsidR="000934A5" w:rsidRPr="00A21E3B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E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A21E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</w:t>
            </w:r>
          </w:p>
        </w:tc>
      </w:tr>
      <w:tr w:rsidR="000934A5" w:rsidRPr="00867B23" w14:paraId="046BB553" w14:textId="77777777" w:rsidTr="0019535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noWrap/>
          </w:tcPr>
          <w:p w14:paraId="280DDECE" w14:textId="5EC7C6B3" w:rsidR="000934A5" w:rsidRPr="003C0848" w:rsidRDefault="000934A5" w:rsidP="000934A5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BD779F">
              <w:rPr>
                <w:rFonts w:ascii="Arial" w:hAnsi="Arial" w:cs="Arial"/>
                <w:color w:val="000000"/>
                <w:sz w:val="20"/>
                <w:szCs w:val="20"/>
              </w:rPr>
              <w:t>Aspartate</w:t>
            </w:r>
            <w:proofErr w:type="spellEnd"/>
            <w:r w:rsidRPr="00BD77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779F">
              <w:rPr>
                <w:rFonts w:ascii="Arial" w:hAnsi="Arial" w:cs="Arial"/>
                <w:color w:val="000000"/>
                <w:sz w:val="20"/>
                <w:szCs w:val="20"/>
              </w:rPr>
              <w:t>aminotransferase</w:t>
            </w:r>
            <w:proofErr w:type="spellEnd"/>
            <w:r w:rsidRPr="003C0848">
              <w:rPr>
                <w:rFonts w:ascii="Arial" w:hAnsi="Arial" w:cs="Arial"/>
                <w:color w:val="000000"/>
                <w:sz w:val="20"/>
                <w:szCs w:val="20"/>
              </w:rPr>
              <w:t xml:space="preserve"> (AST</w:t>
            </w:r>
            <w:r w:rsidR="00B721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C0848">
              <w:rPr>
                <w:rFonts w:ascii="Arial" w:hAnsi="Arial" w:cs="Arial"/>
                <w:color w:val="000000"/>
                <w:sz w:val="20"/>
                <w:szCs w:val="20"/>
              </w:rPr>
              <w:t>U/L)</w:t>
            </w:r>
          </w:p>
          <w:p w14:paraId="37295070" w14:textId="77777777" w:rsidR="000934A5" w:rsidRPr="003C0848" w:rsidRDefault="000934A5" w:rsidP="000934A5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mean ± SD</w:t>
            </w:r>
          </w:p>
          <w:p w14:paraId="3D6089EB" w14:textId="46FFBD17" w:rsidR="000934A5" w:rsidRPr="00867B23" w:rsidRDefault="000934A5" w:rsidP="000934A5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median (</w:t>
            </w:r>
            <w:r w:rsidRPr="003C0848">
              <w:rPr>
                <w:rFonts w:ascii="Arial" w:hAnsi="Arial" w:cs="Arial"/>
                <w:sz w:val="20"/>
                <w:szCs w:val="20"/>
                <w:lang w:val="en-US" w:bidi="en-US"/>
              </w:rPr>
              <w:t>quartile 25-75</w:t>
            </w: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91" w:type="pct"/>
            <w:noWrap/>
          </w:tcPr>
          <w:p w14:paraId="3B97D90F" w14:textId="77777777" w:rsid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6EE260" w14:textId="77777777" w:rsidR="000934A5" w:rsidRPr="00221CFF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FF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21CFF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21CFF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  <w:p w14:paraId="77EF531D" w14:textId="77777777" w:rsidR="000934A5" w:rsidRPr="00221CFF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F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21CFF">
              <w:rPr>
                <w:rFonts w:ascii="Arial" w:hAnsi="Arial" w:cs="Arial"/>
                <w:color w:val="000000"/>
                <w:sz w:val="20"/>
                <w:szCs w:val="20"/>
              </w:rPr>
              <w:t>(29-66)</w:t>
            </w:r>
          </w:p>
        </w:tc>
        <w:tc>
          <w:tcPr>
            <w:tcW w:w="1132" w:type="pct"/>
            <w:noWrap/>
          </w:tcPr>
          <w:p w14:paraId="3354825C" w14:textId="77777777" w:rsid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19E2F4" w14:textId="77777777" w:rsidR="000934A5" w:rsidRPr="00221CFF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F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21CFF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21CF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  <w:p w14:paraId="18249B30" w14:textId="77777777" w:rsidR="000934A5" w:rsidRPr="00221CFF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F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21CFF">
              <w:rPr>
                <w:rFonts w:ascii="Arial" w:hAnsi="Arial" w:cs="Arial"/>
                <w:color w:val="000000"/>
                <w:sz w:val="20"/>
                <w:szCs w:val="20"/>
              </w:rPr>
              <w:t>(24-74)</w:t>
            </w:r>
          </w:p>
        </w:tc>
        <w:tc>
          <w:tcPr>
            <w:tcW w:w="493" w:type="pct"/>
          </w:tcPr>
          <w:p w14:paraId="4F622D2B" w14:textId="1A02C1A3" w:rsidR="000934A5" w:rsidRPr="00221CFF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F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221CFF"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</w:tr>
      <w:tr w:rsidR="000934A5" w:rsidRPr="00FA0267" w14:paraId="5B7343C3" w14:textId="77777777" w:rsidTr="0019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noWrap/>
            <w:hideMark/>
          </w:tcPr>
          <w:p w14:paraId="6DE6B673" w14:textId="02219A8B" w:rsidR="000934A5" w:rsidRPr="0038561C" w:rsidRDefault="000934A5" w:rsidP="000934A5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1D1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Alanine</w:t>
            </w:r>
            <w:proofErr w:type="spellEnd"/>
            <w:r w:rsidRPr="001D15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1563">
              <w:rPr>
                <w:rFonts w:ascii="Arial" w:hAnsi="Arial" w:cs="Arial"/>
                <w:color w:val="000000"/>
                <w:sz w:val="20"/>
                <w:szCs w:val="20"/>
              </w:rPr>
              <w:t>aminotransferase</w:t>
            </w:r>
            <w:proofErr w:type="spellEnd"/>
            <w:r w:rsidRPr="001D156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38561C">
              <w:rPr>
                <w:rFonts w:ascii="Arial" w:hAnsi="Arial" w:cs="Arial"/>
                <w:color w:val="000000"/>
                <w:sz w:val="20"/>
                <w:szCs w:val="20"/>
              </w:rPr>
              <w:t>ALT</w:t>
            </w:r>
            <w:r w:rsidR="00B721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8561C">
              <w:rPr>
                <w:rFonts w:ascii="Arial" w:hAnsi="Arial" w:cs="Arial"/>
                <w:color w:val="000000"/>
                <w:sz w:val="20"/>
                <w:szCs w:val="20"/>
              </w:rPr>
              <w:t xml:space="preserve"> U/L)</w:t>
            </w:r>
          </w:p>
          <w:p w14:paraId="46F25CD4" w14:textId="77777777" w:rsidR="000934A5" w:rsidRPr="003C0848" w:rsidRDefault="000934A5" w:rsidP="000934A5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mean ± SD</w:t>
            </w:r>
          </w:p>
          <w:p w14:paraId="00181F88" w14:textId="5ADFFF04" w:rsidR="000934A5" w:rsidRPr="00867B23" w:rsidRDefault="000934A5" w:rsidP="000934A5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median (</w:t>
            </w:r>
            <w:r w:rsidRPr="003C0848">
              <w:rPr>
                <w:rFonts w:ascii="Arial" w:hAnsi="Arial" w:cs="Arial"/>
                <w:sz w:val="20"/>
                <w:szCs w:val="20"/>
                <w:lang w:val="en-US" w:bidi="en-US"/>
              </w:rPr>
              <w:t>quartile 25-75</w:t>
            </w: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91" w:type="pct"/>
            <w:noWrap/>
            <w:hideMark/>
          </w:tcPr>
          <w:p w14:paraId="387E570F" w14:textId="77777777" w:rsidR="000934A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DEAC32" w14:textId="77777777" w:rsidR="000934A5" w:rsidRPr="00FA0267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26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A0267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A0267">
              <w:rPr>
                <w:rFonts w:ascii="Arial" w:hAnsi="Arial" w:cs="Arial"/>
                <w:color w:val="000000"/>
                <w:sz w:val="20"/>
                <w:szCs w:val="20"/>
              </w:rPr>
              <w:t xml:space="preserve">53 </w:t>
            </w:r>
          </w:p>
          <w:p w14:paraId="3680E829" w14:textId="77777777" w:rsidR="000934A5" w:rsidRPr="00FA0267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2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Pr="00FA0267">
              <w:rPr>
                <w:rFonts w:ascii="Arial" w:hAnsi="Arial" w:cs="Arial"/>
                <w:color w:val="000000"/>
                <w:sz w:val="20"/>
                <w:szCs w:val="20"/>
              </w:rPr>
              <w:t>(27-64)</w:t>
            </w:r>
          </w:p>
        </w:tc>
        <w:tc>
          <w:tcPr>
            <w:tcW w:w="1132" w:type="pct"/>
            <w:noWrap/>
            <w:hideMark/>
          </w:tcPr>
          <w:p w14:paraId="0A573940" w14:textId="77777777" w:rsidR="000934A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3C033F" w14:textId="77777777" w:rsidR="000934A5" w:rsidRPr="00FA0267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26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A0267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A0267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  <w:p w14:paraId="4C556E2A" w14:textId="77777777" w:rsidR="000934A5" w:rsidRPr="00FA0267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26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A0267">
              <w:rPr>
                <w:rFonts w:ascii="Arial" w:hAnsi="Arial" w:cs="Arial"/>
                <w:color w:val="000000"/>
                <w:sz w:val="20"/>
                <w:szCs w:val="20"/>
              </w:rPr>
              <w:t>(20-80)</w:t>
            </w:r>
          </w:p>
        </w:tc>
        <w:tc>
          <w:tcPr>
            <w:tcW w:w="493" w:type="pct"/>
          </w:tcPr>
          <w:p w14:paraId="047018C7" w14:textId="66B7E3F7" w:rsidR="000934A5" w:rsidRPr="00FA0267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2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A0267"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</w:tr>
      <w:tr w:rsidR="000934A5" w:rsidRPr="00867B23" w14:paraId="1F705F01" w14:textId="77777777" w:rsidTr="0019535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noWrap/>
            <w:hideMark/>
          </w:tcPr>
          <w:p w14:paraId="68B06719" w14:textId="77777777" w:rsidR="000934A5" w:rsidRPr="003C0848" w:rsidRDefault="000934A5" w:rsidP="000934A5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Alpha-fetoprotein (ng/mL)</w:t>
            </w:r>
          </w:p>
          <w:p w14:paraId="527009D7" w14:textId="77777777" w:rsidR="000934A5" w:rsidRPr="003C0848" w:rsidRDefault="000934A5" w:rsidP="000934A5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mean ± SD</w:t>
            </w:r>
          </w:p>
          <w:p w14:paraId="54E768BE" w14:textId="2F365C31" w:rsidR="000934A5" w:rsidRPr="00867B23" w:rsidRDefault="000934A5" w:rsidP="000934A5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median (</w:t>
            </w:r>
            <w:r w:rsidRPr="003C0848">
              <w:rPr>
                <w:rFonts w:ascii="Arial" w:hAnsi="Arial" w:cs="Arial"/>
                <w:sz w:val="20"/>
                <w:szCs w:val="20"/>
                <w:lang w:val="en-US" w:bidi="en-US"/>
              </w:rPr>
              <w:t>quartile 25-75</w:t>
            </w: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91" w:type="pct"/>
            <w:noWrap/>
            <w:hideMark/>
          </w:tcPr>
          <w:p w14:paraId="4CAA2CEB" w14:textId="77777777" w:rsid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8A22CA" w14:textId="31AD5489" w:rsidR="000934A5" w:rsidRPr="00901CD6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CD6">
              <w:rPr>
                <w:rFonts w:ascii="Arial" w:hAnsi="Arial" w:cs="Arial"/>
                <w:color w:val="000000"/>
                <w:sz w:val="20"/>
                <w:szCs w:val="20"/>
              </w:rPr>
              <w:t>2051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01CD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01CD6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01CD6">
              <w:rPr>
                <w:rFonts w:ascii="Arial" w:hAnsi="Arial" w:cs="Arial"/>
                <w:color w:val="000000"/>
                <w:sz w:val="20"/>
                <w:szCs w:val="20"/>
              </w:rPr>
              <w:t>9625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01CD6"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</w:p>
          <w:p w14:paraId="49657D0B" w14:textId="54C39964" w:rsidR="000934A5" w:rsidRPr="00901CD6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CD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01CD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01CD6">
              <w:rPr>
                <w:rFonts w:ascii="Arial" w:hAnsi="Arial" w:cs="Arial"/>
                <w:color w:val="000000"/>
                <w:sz w:val="20"/>
                <w:szCs w:val="20"/>
              </w:rPr>
              <w:t>(4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01CD6">
              <w:rPr>
                <w:rFonts w:ascii="Arial" w:hAnsi="Arial" w:cs="Arial"/>
                <w:color w:val="000000"/>
                <w:sz w:val="20"/>
                <w:szCs w:val="20"/>
              </w:rPr>
              <w:t>6-141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01CD6">
              <w:rPr>
                <w:rFonts w:ascii="Arial" w:hAnsi="Arial" w:cs="Arial"/>
                <w:color w:val="000000"/>
                <w:sz w:val="20"/>
                <w:szCs w:val="20"/>
              </w:rPr>
              <w:t>4)</w:t>
            </w:r>
          </w:p>
        </w:tc>
        <w:tc>
          <w:tcPr>
            <w:tcW w:w="1132" w:type="pct"/>
            <w:noWrap/>
            <w:hideMark/>
          </w:tcPr>
          <w:p w14:paraId="557AEAC8" w14:textId="77777777" w:rsid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8DE80D" w14:textId="3364F7D2" w:rsidR="000934A5" w:rsidRPr="00901CD6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CD6">
              <w:rPr>
                <w:rFonts w:ascii="Arial" w:hAnsi="Arial" w:cs="Arial"/>
                <w:color w:val="000000"/>
                <w:sz w:val="20"/>
                <w:szCs w:val="20"/>
              </w:rPr>
              <w:t>2455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01CD6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01CD6">
              <w:rPr>
                <w:rFonts w:ascii="Arial" w:hAnsi="Arial" w:cs="Arial"/>
                <w:color w:val="000000"/>
                <w:sz w:val="20"/>
                <w:szCs w:val="20"/>
              </w:rPr>
              <w:t>7045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01CD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14:paraId="4A0C1C0E" w14:textId="344736B0" w:rsidR="000934A5" w:rsidRPr="00901CD6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CD6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01CD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01CD6">
              <w:rPr>
                <w:rFonts w:ascii="Arial" w:hAnsi="Arial" w:cs="Arial"/>
                <w:color w:val="000000"/>
                <w:sz w:val="20"/>
                <w:szCs w:val="20"/>
              </w:rPr>
              <w:t>(4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01CD6">
              <w:rPr>
                <w:rFonts w:ascii="Arial" w:hAnsi="Arial" w:cs="Arial"/>
                <w:color w:val="000000"/>
                <w:sz w:val="20"/>
                <w:szCs w:val="20"/>
              </w:rPr>
              <w:t>7-424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01CD6">
              <w:rPr>
                <w:rFonts w:ascii="Arial" w:hAnsi="Arial" w:cs="Arial"/>
                <w:color w:val="000000"/>
                <w:sz w:val="20"/>
                <w:szCs w:val="20"/>
              </w:rPr>
              <w:t>3)</w:t>
            </w:r>
          </w:p>
        </w:tc>
        <w:tc>
          <w:tcPr>
            <w:tcW w:w="493" w:type="pct"/>
          </w:tcPr>
          <w:p w14:paraId="4D9D1D0D" w14:textId="314EF9FF" w:rsidR="000934A5" w:rsidRPr="00901CD6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C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01CD6"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</w:tr>
      <w:tr w:rsidR="000934A5" w:rsidRPr="00CC3ADE" w14:paraId="6EE56723" w14:textId="77777777" w:rsidTr="0019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noWrap/>
            <w:hideMark/>
          </w:tcPr>
          <w:p w14:paraId="457E6F3A" w14:textId="77777777" w:rsidR="000934A5" w:rsidRPr="003C0848" w:rsidRDefault="000934A5" w:rsidP="000934A5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Albumin (g/dL)</w:t>
            </w:r>
          </w:p>
          <w:p w14:paraId="1E7DEC86" w14:textId="77777777" w:rsidR="000934A5" w:rsidRPr="003C0848" w:rsidRDefault="000934A5" w:rsidP="000934A5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mean ± SD</w:t>
            </w:r>
          </w:p>
          <w:p w14:paraId="1B76E0F7" w14:textId="5FE78C19" w:rsidR="000934A5" w:rsidRPr="000934A5" w:rsidRDefault="000934A5" w:rsidP="000934A5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median (</w:t>
            </w:r>
            <w:r w:rsidRPr="003C0848">
              <w:rPr>
                <w:rFonts w:ascii="Arial" w:hAnsi="Arial" w:cs="Arial"/>
                <w:sz w:val="20"/>
                <w:szCs w:val="20"/>
                <w:lang w:val="en-US" w:bidi="en-US"/>
              </w:rPr>
              <w:t>quartile 25-75</w:t>
            </w: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91" w:type="pct"/>
            <w:noWrap/>
            <w:hideMark/>
          </w:tcPr>
          <w:p w14:paraId="3AA119C1" w14:textId="77777777" w:rsidR="000934A5" w:rsidRPr="000934A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165D987" w14:textId="04B43CCB" w:rsidR="000934A5" w:rsidRPr="00CC3ADE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AD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C3AD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C3ADE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C3AD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C3ADE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  <w:p w14:paraId="4B56F6C5" w14:textId="56E8B4CD" w:rsidR="000934A5" w:rsidRPr="00CC3ADE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AD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C3AD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C3ADE">
              <w:rPr>
                <w:rFonts w:ascii="Arial" w:hAnsi="Arial" w:cs="Arial"/>
                <w:color w:val="000000"/>
                <w:sz w:val="20"/>
                <w:szCs w:val="20"/>
              </w:rPr>
              <w:t>(3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C3ADE">
              <w:rPr>
                <w:rFonts w:ascii="Arial" w:hAnsi="Arial" w:cs="Arial"/>
                <w:color w:val="000000"/>
                <w:sz w:val="20"/>
                <w:szCs w:val="20"/>
              </w:rPr>
              <w:t>8-4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C3ADE">
              <w:rPr>
                <w:rFonts w:ascii="Arial" w:hAnsi="Arial" w:cs="Arial"/>
                <w:color w:val="000000"/>
                <w:sz w:val="20"/>
                <w:szCs w:val="20"/>
              </w:rPr>
              <w:t>5)</w:t>
            </w:r>
          </w:p>
        </w:tc>
        <w:tc>
          <w:tcPr>
            <w:tcW w:w="1132" w:type="pct"/>
            <w:noWrap/>
            <w:hideMark/>
          </w:tcPr>
          <w:p w14:paraId="6245BE87" w14:textId="77777777" w:rsidR="000934A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AB2E84" w14:textId="18583E48" w:rsidR="000934A5" w:rsidRPr="00CC3ADE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AD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C3AD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C3ADE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C3AD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C3ADE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  <w:p w14:paraId="4A243FE4" w14:textId="22E03649" w:rsidR="000934A5" w:rsidRPr="00CC3ADE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AD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C3AD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CC3AD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C3ADE">
              <w:rPr>
                <w:rFonts w:ascii="Arial" w:hAnsi="Arial" w:cs="Arial"/>
                <w:color w:val="000000"/>
                <w:sz w:val="20"/>
                <w:szCs w:val="20"/>
              </w:rPr>
              <w:t>6-4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C3ADE">
              <w:rPr>
                <w:rFonts w:ascii="Arial" w:hAnsi="Arial" w:cs="Arial"/>
                <w:color w:val="000000"/>
                <w:sz w:val="20"/>
                <w:szCs w:val="20"/>
              </w:rPr>
              <w:t>5)</w:t>
            </w:r>
          </w:p>
        </w:tc>
        <w:tc>
          <w:tcPr>
            <w:tcW w:w="493" w:type="pct"/>
          </w:tcPr>
          <w:p w14:paraId="6BB3E1AC" w14:textId="2AB8303B" w:rsidR="000934A5" w:rsidRPr="00CC3ADE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AD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C3ADE">
              <w:rPr>
                <w:rFonts w:ascii="Arial" w:hAnsi="Arial" w:cs="Arial"/>
                <w:color w:val="000000"/>
                <w:sz w:val="20"/>
                <w:szCs w:val="20"/>
              </w:rPr>
              <w:t>577</w:t>
            </w:r>
          </w:p>
        </w:tc>
      </w:tr>
      <w:tr w:rsidR="000934A5" w:rsidRPr="00867B23" w14:paraId="6F950063" w14:textId="77777777" w:rsidTr="0019535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noWrap/>
            <w:hideMark/>
          </w:tcPr>
          <w:p w14:paraId="1A2CB0B1" w14:textId="77777777" w:rsidR="000934A5" w:rsidRPr="003C0848" w:rsidRDefault="000934A5" w:rsidP="000934A5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PLR</w:t>
            </w:r>
          </w:p>
          <w:p w14:paraId="3F8345E0" w14:textId="77777777" w:rsidR="000934A5" w:rsidRPr="003C0848" w:rsidRDefault="000934A5" w:rsidP="000934A5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mean ± SD</w:t>
            </w:r>
          </w:p>
          <w:p w14:paraId="0D96A484" w14:textId="2A1C7878" w:rsidR="000934A5" w:rsidRPr="000934A5" w:rsidRDefault="000934A5" w:rsidP="000934A5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median (</w:t>
            </w:r>
            <w:r w:rsidRPr="003C0848">
              <w:rPr>
                <w:rFonts w:ascii="Arial" w:hAnsi="Arial" w:cs="Arial"/>
                <w:sz w:val="20"/>
                <w:szCs w:val="20"/>
                <w:lang w:val="en-US" w:bidi="en-US"/>
              </w:rPr>
              <w:t>quartile 25-75</w:t>
            </w: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91" w:type="pct"/>
            <w:noWrap/>
            <w:hideMark/>
          </w:tcPr>
          <w:p w14:paraId="6732040A" w14:textId="77777777" w:rsidR="000934A5" w:rsidRP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4D1D44B" w14:textId="7D4CCEA1" w:rsidR="000934A5" w:rsidRPr="00D20E96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  <w:p w14:paraId="00CA00DD" w14:textId="3FE4CBC6" w:rsidR="000934A5" w:rsidRPr="00D20E96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(60-108)</w:t>
            </w:r>
          </w:p>
        </w:tc>
        <w:tc>
          <w:tcPr>
            <w:tcW w:w="1132" w:type="pct"/>
            <w:noWrap/>
            <w:hideMark/>
          </w:tcPr>
          <w:p w14:paraId="608FD9ED" w14:textId="77777777" w:rsid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A8496C" w14:textId="541C1CE2" w:rsidR="000934A5" w:rsidRPr="00D20E96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</w:p>
          <w:p w14:paraId="18155787" w14:textId="2C7B4E00" w:rsidR="000934A5" w:rsidRPr="00D20E96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(104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5-176)</w:t>
            </w:r>
          </w:p>
        </w:tc>
        <w:tc>
          <w:tcPr>
            <w:tcW w:w="493" w:type="pct"/>
          </w:tcPr>
          <w:p w14:paraId="05CB9EBA" w14:textId="7C2CAE08" w:rsidR="000934A5" w:rsidRPr="00D20E96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E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D20E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</w:tr>
      <w:tr w:rsidR="000934A5" w:rsidRPr="00867B23" w14:paraId="21929A3E" w14:textId="77777777" w:rsidTr="0019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noWrap/>
            <w:hideMark/>
          </w:tcPr>
          <w:p w14:paraId="242F0087" w14:textId="77777777" w:rsidR="000934A5" w:rsidRPr="003C0848" w:rsidRDefault="000934A5" w:rsidP="000934A5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MLR</w:t>
            </w:r>
          </w:p>
          <w:p w14:paraId="3A33F689" w14:textId="77777777" w:rsidR="000934A5" w:rsidRPr="003C0848" w:rsidRDefault="000934A5" w:rsidP="000934A5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mean ± SD</w:t>
            </w:r>
          </w:p>
          <w:p w14:paraId="7EC22CB4" w14:textId="7685C826" w:rsidR="000934A5" w:rsidRPr="000934A5" w:rsidRDefault="000934A5" w:rsidP="000934A5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median (</w:t>
            </w:r>
            <w:r w:rsidRPr="003C0848">
              <w:rPr>
                <w:rFonts w:ascii="Arial" w:hAnsi="Arial" w:cs="Arial"/>
                <w:sz w:val="20"/>
                <w:szCs w:val="20"/>
                <w:lang w:val="en-US" w:bidi="en-US"/>
              </w:rPr>
              <w:t>quartile 25-75</w:t>
            </w:r>
            <w:r w:rsidRPr="003C0848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91" w:type="pct"/>
            <w:noWrap/>
            <w:hideMark/>
          </w:tcPr>
          <w:p w14:paraId="7A39E7A7" w14:textId="77777777" w:rsidR="000934A5" w:rsidRPr="000934A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1A78F206" w14:textId="04D9C537" w:rsidR="000934A5" w:rsidRPr="00D20E96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14:paraId="2CE98980" w14:textId="2D69A9DB" w:rsidR="000934A5" w:rsidRPr="00D20E96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(1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6-3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132" w:type="pct"/>
            <w:noWrap/>
            <w:hideMark/>
          </w:tcPr>
          <w:p w14:paraId="164CCB9E" w14:textId="77777777" w:rsidR="000934A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2C3741" w14:textId="325C1DA9" w:rsidR="000934A5" w:rsidRPr="00D20E96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  <w:p w14:paraId="0A507DB3" w14:textId="430C9E8D" w:rsidR="000934A5" w:rsidRPr="00D20E96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(3-5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20E96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</w:tc>
        <w:tc>
          <w:tcPr>
            <w:tcW w:w="493" w:type="pct"/>
          </w:tcPr>
          <w:p w14:paraId="4CF301A3" w14:textId="589F1B56" w:rsidR="000934A5" w:rsidRPr="00D20E96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E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D20E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</w:tr>
      <w:tr w:rsidR="000934A5" w:rsidRPr="00867B23" w14:paraId="606EA190" w14:textId="77777777" w:rsidTr="0019535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noWrap/>
            <w:hideMark/>
          </w:tcPr>
          <w:p w14:paraId="400D51E5" w14:textId="77777777" w:rsidR="000934A5" w:rsidRPr="000934A5" w:rsidRDefault="000934A5" w:rsidP="000934A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Tumor size (mm)</w:t>
            </w:r>
          </w:p>
          <w:p w14:paraId="5A0B90C3" w14:textId="77777777" w:rsidR="000934A5" w:rsidRPr="000934A5" w:rsidRDefault="000934A5" w:rsidP="000934A5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0934A5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mean ± SD</w:t>
            </w:r>
          </w:p>
          <w:p w14:paraId="3DB25550" w14:textId="08BD6920" w:rsidR="000934A5" w:rsidRPr="000934A5" w:rsidRDefault="000934A5" w:rsidP="000934A5">
            <w:pPr>
              <w:ind w:left="708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934A5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median (</w:t>
            </w: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  <w:lang w:val="en-US" w:bidi="en-US"/>
              </w:rPr>
              <w:t>quartile 25-75</w:t>
            </w:r>
            <w:r w:rsidRPr="000934A5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091" w:type="pct"/>
            <w:noWrap/>
            <w:hideMark/>
          </w:tcPr>
          <w:p w14:paraId="7D7FAAC9" w14:textId="77777777" w:rsidR="000934A5" w:rsidRP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5C7E139" w14:textId="77777777" w:rsidR="000934A5" w:rsidRP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54 ± 44 </w:t>
            </w:r>
          </w:p>
          <w:p w14:paraId="00181975" w14:textId="77777777" w:rsidR="000934A5" w:rsidRP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</w:rPr>
              <w:t>40 (25-65)</w:t>
            </w:r>
          </w:p>
        </w:tc>
        <w:tc>
          <w:tcPr>
            <w:tcW w:w="1132" w:type="pct"/>
            <w:noWrap/>
            <w:hideMark/>
          </w:tcPr>
          <w:p w14:paraId="37955780" w14:textId="77777777" w:rsidR="000934A5" w:rsidRP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4A939A" w14:textId="77777777" w:rsidR="000934A5" w:rsidRP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80 ± 58 </w:t>
            </w:r>
          </w:p>
          <w:p w14:paraId="030D7B14" w14:textId="77777777" w:rsidR="000934A5" w:rsidRPr="000934A5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</w:rPr>
              <w:t>67 (40-100)</w:t>
            </w:r>
          </w:p>
        </w:tc>
        <w:tc>
          <w:tcPr>
            <w:tcW w:w="493" w:type="pct"/>
          </w:tcPr>
          <w:p w14:paraId="373752C2" w14:textId="7A3E062A" w:rsidR="000934A5" w:rsidRPr="00FA64BA" w:rsidRDefault="000934A5" w:rsidP="00093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FA6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003</w:t>
            </w:r>
          </w:p>
        </w:tc>
      </w:tr>
      <w:tr w:rsidR="000934A5" w:rsidRPr="00867B23" w14:paraId="4B26B06B" w14:textId="77777777" w:rsidTr="0019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noWrap/>
            <w:hideMark/>
          </w:tcPr>
          <w:p w14:paraId="15DB1017" w14:textId="77777777" w:rsidR="000934A5" w:rsidRPr="000934A5" w:rsidRDefault="000934A5" w:rsidP="000934A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Vascular invasion</w:t>
            </w:r>
          </w:p>
          <w:p w14:paraId="10050A71" w14:textId="77777777" w:rsidR="000934A5" w:rsidRPr="000934A5" w:rsidRDefault="000934A5" w:rsidP="000934A5">
            <w:pPr>
              <w:ind w:left="708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yes</w:t>
            </w:r>
          </w:p>
          <w:p w14:paraId="74674772" w14:textId="2C6E3A7D" w:rsidR="000934A5" w:rsidRPr="000934A5" w:rsidRDefault="000934A5" w:rsidP="000934A5">
            <w:pPr>
              <w:ind w:left="7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091" w:type="pct"/>
            <w:noWrap/>
            <w:hideMark/>
          </w:tcPr>
          <w:p w14:paraId="392CE2DD" w14:textId="77777777" w:rsidR="000934A5" w:rsidRPr="000934A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081B45" w14:textId="0A8396BA" w:rsidR="000934A5" w:rsidRPr="000934A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</w:rPr>
              <w:t>51 (48.6%)</w:t>
            </w:r>
          </w:p>
          <w:p w14:paraId="740AD784" w14:textId="4DC700E3" w:rsidR="000934A5" w:rsidRPr="000934A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</w:rPr>
              <w:t>54 (51.4%)</w:t>
            </w:r>
          </w:p>
        </w:tc>
        <w:tc>
          <w:tcPr>
            <w:tcW w:w="1132" w:type="pct"/>
            <w:noWrap/>
            <w:hideMark/>
          </w:tcPr>
          <w:p w14:paraId="5EFADEA8" w14:textId="77777777" w:rsidR="000934A5" w:rsidRPr="000934A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3CCF09" w14:textId="6D26DE6F" w:rsidR="000934A5" w:rsidRPr="000934A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</w:rPr>
              <w:t>24 (57.1%)</w:t>
            </w:r>
          </w:p>
          <w:p w14:paraId="0CDF7DB7" w14:textId="6294B234" w:rsidR="000934A5" w:rsidRPr="000934A5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34A5">
              <w:rPr>
                <w:rFonts w:ascii="Arial" w:hAnsi="Arial" w:cs="Arial"/>
                <w:color w:val="000000" w:themeColor="text1"/>
                <w:sz w:val="20"/>
                <w:szCs w:val="20"/>
              </w:rPr>
              <w:t>18 (42.9%)</w:t>
            </w:r>
          </w:p>
        </w:tc>
        <w:tc>
          <w:tcPr>
            <w:tcW w:w="493" w:type="pct"/>
          </w:tcPr>
          <w:p w14:paraId="74E6891A" w14:textId="7E49CC2E" w:rsidR="000934A5" w:rsidRPr="00867B23" w:rsidRDefault="000934A5" w:rsidP="0009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67B23"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</w:tr>
    </w:tbl>
    <w:p w14:paraId="47CDF0EE" w14:textId="762E6787" w:rsidR="000934A5" w:rsidRPr="00830AAB" w:rsidRDefault="000934A5" w:rsidP="000934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FA318E">
        <w:rPr>
          <w:rFonts w:ascii="Arial" w:hAnsi="Arial" w:cs="Arial"/>
          <w:sz w:val="20"/>
          <w:szCs w:val="20"/>
          <w:lang w:val="en-US"/>
        </w:rPr>
        <w:t>SD: standard deviation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Pr="00830AAB">
        <w:rPr>
          <w:rFonts w:ascii="Arial" w:hAnsi="Arial" w:cs="Arial"/>
          <w:sz w:val="20"/>
          <w:szCs w:val="20"/>
          <w:lang w:val="en-US"/>
        </w:rPr>
        <w:t>MELD: Model of End Stage Liver Disease</w:t>
      </w:r>
      <w:r>
        <w:rPr>
          <w:rFonts w:ascii="Arial" w:hAnsi="Arial" w:cs="Arial"/>
          <w:sz w:val="20"/>
          <w:szCs w:val="20"/>
          <w:lang w:val="en-US"/>
        </w:rPr>
        <w:t>;</w:t>
      </w:r>
      <w:r w:rsidRPr="00830AAB">
        <w:rPr>
          <w:rFonts w:ascii="Arial" w:hAnsi="Arial" w:cs="Arial"/>
          <w:sz w:val="20"/>
          <w:szCs w:val="20"/>
          <w:lang w:val="en-US"/>
        </w:rPr>
        <w:t xml:space="preserve"> PL</w:t>
      </w:r>
      <w:r w:rsidRPr="00FA318E">
        <w:rPr>
          <w:rFonts w:ascii="Arial" w:hAnsi="Arial" w:cs="Arial"/>
          <w:sz w:val="20"/>
          <w:szCs w:val="20"/>
          <w:lang w:val="en-US"/>
        </w:rPr>
        <w:t>R</w:t>
      </w:r>
      <w:r w:rsidRPr="00830AAB">
        <w:rPr>
          <w:rFonts w:ascii="Arial" w:hAnsi="Arial" w:cs="Arial"/>
          <w:sz w:val="20"/>
          <w:szCs w:val="20"/>
          <w:lang w:val="en-US"/>
        </w:rPr>
        <w:t xml:space="preserve">: </w:t>
      </w:r>
      <w:r w:rsidRPr="00FA318E">
        <w:rPr>
          <w:rFonts w:ascii="Arial" w:hAnsi="Arial" w:cs="Arial"/>
          <w:sz w:val="20"/>
          <w:szCs w:val="20"/>
          <w:lang w:val="en-US"/>
        </w:rPr>
        <w:t>platelet-to-lymphocyte ratio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Pr="00830AAB">
        <w:rPr>
          <w:rFonts w:ascii="Arial" w:hAnsi="Arial" w:cs="Arial"/>
          <w:sz w:val="20"/>
          <w:szCs w:val="20"/>
          <w:lang w:val="en-US"/>
        </w:rPr>
        <w:t>ML</w:t>
      </w:r>
      <w:r w:rsidRPr="00FA318E">
        <w:rPr>
          <w:rFonts w:ascii="Arial" w:hAnsi="Arial" w:cs="Arial"/>
          <w:sz w:val="20"/>
          <w:szCs w:val="20"/>
          <w:lang w:val="en-US"/>
        </w:rPr>
        <w:t>R</w:t>
      </w:r>
      <w:r w:rsidRPr="00830AAB">
        <w:rPr>
          <w:rFonts w:ascii="Arial" w:hAnsi="Arial" w:cs="Arial"/>
          <w:sz w:val="20"/>
          <w:szCs w:val="20"/>
          <w:lang w:val="en-US"/>
        </w:rPr>
        <w:t xml:space="preserve">: </w:t>
      </w:r>
      <w:r w:rsidRPr="00FA318E">
        <w:rPr>
          <w:rFonts w:ascii="Arial" w:hAnsi="Arial" w:cs="Arial"/>
          <w:sz w:val="20"/>
          <w:szCs w:val="20"/>
          <w:lang w:val="en-US"/>
        </w:rPr>
        <w:t xml:space="preserve">monocyte-to-lymphocyte ratio </w:t>
      </w:r>
    </w:p>
    <w:p w14:paraId="0E218AF5" w14:textId="77777777" w:rsidR="00FA65B3" w:rsidRPr="005A0753" w:rsidRDefault="00FA65B3" w:rsidP="00FA65B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5A0753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  <w:lang w:val="en-US" w:eastAsia="pt-BR"/>
        </w:rPr>
        <w:t xml:space="preserve">† </w:t>
      </w:r>
      <w:r w:rsidRPr="005A075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% of patients with cirrhosis </w:t>
      </w:r>
    </w:p>
    <w:p w14:paraId="7E9D90E4" w14:textId="575A3278" w:rsidR="000934A5" w:rsidRDefault="000934A5" w:rsidP="00B804C0">
      <w:pPr>
        <w:jc w:val="both"/>
        <w:rPr>
          <w:rFonts w:ascii="Arial" w:hAnsi="Arial" w:cs="Arial"/>
          <w:lang w:val="en-US"/>
        </w:rPr>
      </w:pPr>
    </w:p>
    <w:p w14:paraId="3A4F13AA" w14:textId="06B23415" w:rsidR="0019535B" w:rsidRDefault="0019535B" w:rsidP="00B804C0">
      <w:pPr>
        <w:jc w:val="both"/>
        <w:rPr>
          <w:rFonts w:ascii="Arial" w:hAnsi="Arial" w:cs="Arial"/>
          <w:lang w:val="en-US"/>
        </w:rPr>
      </w:pPr>
    </w:p>
    <w:p w14:paraId="7D84BC80" w14:textId="68408783" w:rsidR="0019535B" w:rsidRDefault="0019535B" w:rsidP="00B804C0">
      <w:pPr>
        <w:jc w:val="both"/>
        <w:rPr>
          <w:rFonts w:ascii="Arial" w:hAnsi="Arial" w:cs="Arial"/>
          <w:lang w:val="en-US"/>
        </w:rPr>
      </w:pPr>
    </w:p>
    <w:p w14:paraId="0E9BA71A" w14:textId="04664340" w:rsidR="0019535B" w:rsidRDefault="0019535B" w:rsidP="00B804C0">
      <w:pPr>
        <w:jc w:val="both"/>
        <w:rPr>
          <w:rFonts w:ascii="Arial" w:hAnsi="Arial" w:cs="Arial"/>
          <w:lang w:val="en-US"/>
        </w:rPr>
      </w:pPr>
    </w:p>
    <w:p w14:paraId="622EA792" w14:textId="514499B8" w:rsidR="0019535B" w:rsidRPr="0019535B" w:rsidRDefault="0019535B" w:rsidP="0019535B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proofErr w:type="spellStart"/>
      <w:r w:rsidRPr="00D22931">
        <w:rPr>
          <w:rFonts w:ascii="Arial" w:hAnsi="Arial" w:cs="Arial"/>
          <w:b/>
          <w:color w:val="000000" w:themeColor="text1"/>
          <w:lang w:val="en-US"/>
        </w:rPr>
        <w:t>sTable</w:t>
      </w:r>
      <w:proofErr w:type="spellEnd"/>
      <w:r w:rsidRPr="00D22931">
        <w:rPr>
          <w:rFonts w:ascii="Arial" w:hAnsi="Arial" w:cs="Arial"/>
          <w:b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lang w:val="en-US"/>
        </w:rPr>
        <w:t>3</w:t>
      </w:r>
      <w:r w:rsidRPr="00D22931">
        <w:rPr>
          <w:rFonts w:ascii="Arial" w:hAnsi="Arial" w:cs="Arial"/>
          <w:b/>
          <w:color w:val="000000" w:themeColor="text1"/>
          <w:lang w:val="en-US"/>
        </w:rPr>
        <w:t>.</w:t>
      </w:r>
      <w:r w:rsidRPr="00D22931">
        <w:rPr>
          <w:rFonts w:ascii="Arial" w:hAnsi="Arial" w:cs="Arial"/>
          <w:color w:val="000000" w:themeColor="text1"/>
          <w:lang w:val="en-US"/>
        </w:rPr>
        <w:t xml:space="preserve"> </w:t>
      </w:r>
      <w:r w:rsidRPr="00211ED8">
        <w:rPr>
          <w:rFonts w:ascii="Arial" w:hAnsi="Arial" w:cs="Arial"/>
          <w:bCs/>
          <w:lang w:val="en-US"/>
        </w:rPr>
        <w:t xml:space="preserve">Baseline characteristics of patients with low </w:t>
      </w:r>
      <w:r w:rsidRPr="00211ED8">
        <w:rPr>
          <w:rFonts w:ascii="Arial" w:hAnsi="Arial" w:cs="Arial"/>
          <w:color w:val="000000" w:themeColor="text1"/>
          <w:lang w:val="en-US"/>
        </w:rPr>
        <w:t>(</w:t>
      </w:r>
      <w:r w:rsidRPr="00211ED8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≤ </w:t>
      </w:r>
      <w:r>
        <w:rPr>
          <w:rFonts w:ascii="Arial" w:hAnsi="Arial" w:cs="Arial"/>
          <w:color w:val="000000" w:themeColor="text1"/>
          <w:lang w:val="en-US"/>
        </w:rPr>
        <w:t>100.25</w:t>
      </w:r>
      <w:r w:rsidRPr="00211ED8">
        <w:rPr>
          <w:rFonts w:ascii="Arial" w:hAnsi="Arial" w:cs="Arial"/>
          <w:color w:val="000000" w:themeColor="text1"/>
          <w:lang w:val="en-US"/>
        </w:rPr>
        <w:t xml:space="preserve">) </w:t>
      </w:r>
      <w:r>
        <w:rPr>
          <w:rFonts w:ascii="Arial" w:hAnsi="Arial" w:cs="Arial"/>
          <w:color w:val="000000" w:themeColor="text1"/>
          <w:lang w:val="en-US"/>
        </w:rPr>
        <w:t xml:space="preserve">and </w:t>
      </w:r>
      <w:r w:rsidRPr="00211ED8">
        <w:rPr>
          <w:rFonts w:ascii="Arial" w:hAnsi="Arial" w:cs="Arial"/>
          <w:bCs/>
          <w:lang w:val="en-US"/>
        </w:rPr>
        <w:t xml:space="preserve">high </w:t>
      </w:r>
      <w:r w:rsidRPr="00211ED8">
        <w:rPr>
          <w:rFonts w:ascii="Arial" w:hAnsi="Arial" w:cs="Arial"/>
          <w:color w:val="000000" w:themeColor="text1"/>
          <w:lang w:val="en-US"/>
        </w:rPr>
        <w:t xml:space="preserve">(&gt; </w:t>
      </w:r>
      <w:r>
        <w:rPr>
          <w:rFonts w:ascii="Arial" w:hAnsi="Arial" w:cs="Arial"/>
          <w:color w:val="000000" w:themeColor="text1"/>
          <w:lang w:val="en-US"/>
        </w:rPr>
        <w:t>100.25</w:t>
      </w:r>
      <w:r w:rsidRPr="00211ED8">
        <w:rPr>
          <w:rFonts w:ascii="Arial" w:hAnsi="Arial" w:cs="Arial"/>
          <w:color w:val="000000" w:themeColor="text1"/>
          <w:lang w:val="en-US"/>
        </w:rPr>
        <w:t xml:space="preserve">) </w:t>
      </w:r>
      <w:r w:rsidR="00B721EF">
        <w:rPr>
          <w:rFonts w:ascii="Arial" w:hAnsi="Arial" w:cs="Arial"/>
          <w:color w:val="000000" w:themeColor="text1"/>
          <w:lang w:val="en-US"/>
        </w:rPr>
        <w:t>platelet</w:t>
      </w:r>
      <w:r w:rsidRPr="00211ED8">
        <w:rPr>
          <w:rFonts w:ascii="Arial" w:hAnsi="Arial" w:cs="Arial"/>
          <w:color w:val="000000" w:themeColor="text1"/>
          <w:lang w:val="en-US"/>
        </w:rPr>
        <w:t>-to-lymphocyte ratio</w:t>
      </w:r>
      <w:r>
        <w:rPr>
          <w:rFonts w:ascii="Arial" w:hAnsi="Arial" w:cs="Arial"/>
          <w:color w:val="000000" w:themeColor="text1"/>
          <w:lang w:val="en-US"/>
        </w:rPr>
        <w:t xml:space="preserve"> (</w:t>
      </w:r>
      <w:r w:rsidR="0077514F">
        <w:rPr>
          <w:rFonts w:ascii="Arial" w:hAnsi="Arial" w:cs="Arial"/>
          <w:color w:val="000000" w:themeColor="text1"/>
          <w:lang w:val="en-US"/>
        </w:rPr>
        <w:t>P</w:t>
      </w:r>
      <w:r>
        <w:rPr>
          <w:rFonts w:ascii="Arial" w:hAnsi="Arial" w:cs="Arial"/>
          <w:color w:val="000000" w:themeColor="text1"/>
          <w:lang w:val="en-US"/>
        </w:rPr>
        <w:t>LR)</w:t>
      </w:r>
    </w:p>
    <w:tbl>
      <w:tblPr>
        <w:tblStyle w:val="TabeladeGrade4-nfase31"/>
        <w:tblW w:w="4942" w:type="pct"/>
        <w:tblLayout w:type="fixed"/>
        <w:tblLook w:val="04A0" w:firstRow="1" w:lastRow="0" w:firstColumn="1" w:lastColumn="0" w:noHBand="0" w:noVBand="1"/>
      </w:tblPr>
      <w:tblGrid>
        <w:gridCol w:w="3838"/>
        <w:gridCol w:w="1658"/>
        <w:gridCol w:w="2075"/>
        <w:gridCol w:w="828"/>
      </w:tblGrid>
      <w:tr w:rsidR="0019535B" w:rsidRPr="00B721EF" w14:paraId="63BC7F75" w14:textId="77777777" w:rsidTr="00195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tcBorders>
              <w:top w:val="nil"/>
              <w:left w:val="nil"/>
            </w:tcBorders>
            <w:shd w:val="clear" w:color="auto" w:fill="A6A6A6" w:themeFill="background1" w:themeFillShade="A6"/>
            <w:noWrap/>
          </w:tcPr>
          <w:p w14:paraId="34FE240D" w14:textId="77777777" w:rsidR="0019535B" w:rsidRPr="00B721EF" w:rsidRDefault="0019535B" w:rsidP="00B721EF">
            <w:pPr>
              <w:spacing w:before="80" w:after="80"/>
              <w:contextualSpacing/>
              <w:rPr>
                <w:rFonts w:ascii="Arial" w:eastAsia="MS Mincho" w:hAnsi="Arial" w:cs="Arial"/>
                <w:b w:val="0"/>
                <w:bCs w:val="0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222" w:type="pct"/>
            <w:gridSpan w:val="2"/>
            <w:tcBorders>
              <w:top w:val="nil"/>
            </w:tcBorders>
            <w:shd w:val="clear" w:color="auto" w:fill="A6A6A6" w:themeFill="background1" w:themeFillShade="A6"/>
            <w:noWrap/>
          </w:tcPr>
          <w:p w14:paraId="14B9CC56" w14:textId="5B43503B" w:rsidR="0019535B" w:rsidRPr="00B721EF" w:rsidRDefault="0019535B" w:rsidP="00B721E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721EF">
              <w:rPr>
                <w:rFonts w:ascii="Arial" w:hAnsi="Arial" w:cs="Arial"/>
                <w:color w:val="000000" w:themeColor="text1"/>
                <w:sz w:val="21"/>
                <w:szCs w:val="21"/>
              </w:rPr>
              <w:t>PLR</w:t>
            </w:r>
          </w:p>
        </w:tc>
        <w:tc>
          <w:tcPr>
            <w:tcW w:w="493" w:type="pct"/>
            <w:tcBorders>
              <w:top w:val="nil"/>
              <w:right w:val="nil"/>
            </w:tcBorders>
            <w:shd w:val="clear" w:color="auto" w:fill="A6A6A6" w:themeFill="background1" w:themeFillShade="A6"/>
          </w:tcPr>
          <w:p w14:paraId="36E0A8E7" w14:textId="77777777" w:rsidR="0019535B" w:rsidRPr="00B721EF" w:rsidRDefault="0019535B" w:rsidP="00B721E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</w:tr>
      <w:tr w:rsidR="0019535B" w:rsidRPr="00B721EF" w14:paraId="16F3A7FC" w14:textId="77777777" w:rsidTr="0019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</w:tcPr>
          <w:p w14:paraId="517287AA" w14:textId="77777777" w:rsidR="0019535B" w:rsidRPr="00B721EF" w:rsidRDefault="0019535B" w:rsidP="00B721EF">
            <w:pPr>
              <w:spacing w:before="80" w:after="80"/>
              <w:contextualSpacing/>
              <w:rPr>
                <w:rFonts w:ascii="Arial" w:eastAsia="MS Mincho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87" w:type="pct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</w:tcPr>
          <w:p w14:paraId="31CB6EA2" w14:textId="688726A8" w:rsidR="0019535B" w:rsidRPr="00B721EF" w:rsidRDefault="0019535B" w:rsidP="00B721E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721E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highlight w:val="darkGray"/>
                <w:shd w:val="clear" w:color="auto" w:fill="FFFFFF"/>
              </w:rPr>
              <w:t>≤ 100</w:t>
            </w:r>
            <w:r w:rsidR="00B721EF" w:rsidRPr="00B721E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highlight w:val="darkGray"/>
                <w:shd w:val="clear" w:color="auto" w:fill="FFFFFF"/>
              </w:rPr>
              <w:t>.</w:t>
            </w:r>
            <w:r w:rsidRPr="00B721E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highlight w:val="darkGray"/>
                <w:shd w:val="clear" w:color="auto" w:fill="FFFFFF"/>
              </w:rPr>
              <w:t>25</w:t>
            </w:r>
          </w:p>
        </w:tc>
        <w:tc>
          <w:tcPr>
            <w:tcW w:w="1235" w:type="pct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</w:tcPr>
          <w:p w14:paraId="64600994" w14:textId="51AB2E0F" w:rsidR="0019535B" w:rsidRPr="00B721EF" w:rsidRDefault="0019535B" w:rsidP="00B721E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721E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&gt; 100</w:t>
            </w:r>
            <w:r w:rsidR="00B721EF" w:rsidRPr="00B721E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.</w:t>
            </w:r>
            <w:r w:rsidRPr="00B721E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</w:tcPr>
          <w:p w14:paraId="535C4C9B" w14:textId="4B4E7A0F" w:rsidR="0019535B" w:rsidRPr="00B721EF" w:rsidRDefault="0019535B" w:rsidP="00B721E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721E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P</w:t>
            </w:r>
          </w:p>
        </w:tc>
      </w:tr>
      <w:tr w:rsidR="00B721EF" w:rsidRPr="00B721EF" w14:paraId="0AEE47EE" w14:textId="77777777" w:rsidTr="0019535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tcBorders>
              <w:left w:val="nil"/>
              <w:right w:val="nil"/>
            </w:tcBorders>
            <w:noWrap/>
          </w:tcPr>
          <w:p w14:paraId="5560572B" w14:textId="77777777" w:rsidR="00B721EF" w:rsidRPr="00B721EF" w:rsidRDefault="00B721EF" w:rsidP="00B721EF">
            <w:pPr>
              <w:spacing w:before="80" w:after="80"/>
              <w:contextualSpacing/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Age (years)</w:t>
            </w:r>
          </w:p>
          <w:p w14:paraId="6BFCE8EE" w14:textId="77777777" w:rsidR="00B721EF" w:rsidRPr="00B721EF" w:rsidRDefault="00B721EF" w:rsidP="00B721EF">
            <w:pPr>
              <w:spacing w:before="80" w:after="80"/>
              <w:ind w:left="720"/>
              <w:contextualSpacing/>
              <w:rPr>
                <w:rFonts w:ascii="Arial" w:eastAsia="MS Mincho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mean ± SD</w:t>
            </w:r>
          </w:p>
          <w:p w14:paraId="3A61363E" w14:textId="6080EA45" w:rsidR="00B721EF" w:rsidRPr="00B721EF" w:rsidRDefault="00B721EF" w:rsidP="00B721EF">
            <w:pPr>
              <w:ind w:firstLine="709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median (min-max)</w:t>
            </w:r>
          </w:p>
        </w:tc>
        <w:tc>
          <w:tcPr>
            <w:tcW w:w="987" w:type="pct"/>
            <w:tcBorders>
              <w:left w:val="nil"/>
              <w:right w:val="nil"/>
            </w:tcBorders>
            <w:noWrap/>
            <w:vAlign w:val="center"/>
          </w:tcPr>
          <w:p w14:paraId="3E6AB493" w14:textId="77777777" w:rsidR="00B721EF" w:rsidRPr="00B721EF" w:rsidRDefault="00B721EF" w:rsidP="00B721E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E9E5341" w14:textId="77777777" w:rsidR="00B721EF" w:rsidRPr="00B721EF" w:rsidRDefault="00B721EF" w:rsidP="00B721E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63 ± 9</w:t>
            </w:r>
          </w:p>
          <w:p w14:paraId="3AECB503" w14:textId="77777777" w:rsidR="00B721EF" w:rsidRPr="00B721EF" w:rsidRDefault="00B721EF" w:rsidP="00B721E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64 (18-81)</w:t>
            </w:r>
          </w:p>
        </w:tc>
        <w:tc>
          <w:tcPr>
            <w:tcW w:w="1235" w:type="pct"/>
            <w:tcBorders>
              <w:left w:val="nil"/>
              <w:right w:val="nil"/>
            </w:tcBorders>
            <w:noWrap/>
            <w:vAlign w:val="center"/>
          </w:tcPr>
          <w:p w14:paraId="25E90A1C" w14:textId="77777777" w:rsidR="00B721EF" w:rsidRPr="00B721EF" w:rsidRDefault="00B721EF" w:rsidP="00B721E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359BBA" w14:textId="77777777" w:rsidR="00B721EF" w:rsidRPr="00B721EF" w:rsidRDefault="00B721EF" w:rsidP="00B721E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60 ± 13</w:t>
            </w:r>
          </w:p>
          <w:p w14:paraId="3BA41A51" w14:textId="77777777" w:rsidR="00B721EF" w:rsidRPr="00B721EF" w:rsidRDefault="00B721EF" w:rsidP="00B721E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60 (19-86)</w:t>
            </w:r>
          </w:p>
        </w:tc>
        <w:tc>
          <w:tcPr>
            <w:tcW w:w="493" w:type="pct"/>
            <w:tcBorders>
              <w:left w:val="nil"/>
              <w:right w:val="nil"/>
            </w:tcBorders>
          </w:tcPr>
          <w:p w14:paraId="2192770F" w14:textId="02A3B928" w:rsidR="00B721EF" w:rsidRPr="00B721EF" w:rsidRDefault="00B721EF" w:rsidP="00B721E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0.112</w:t>
            </w:r>
          </w:p>
        </w:tc>
      </w:tr>
      <w:tr w:rsidR="00B721EF" w:rsidRPr="00B721EF" w14:paraId="1B921692" w14:textId="77777777" w:rsidTr="0019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tcBorders>
              <w:left w:val="nil"/>
              <w:right w:val="nil"/>
            </w:tcBorders>
            <w:noWrap/>
            <w:hideMark/>
          </w:tcPr>
          <w:p w14:paraId="6E452277" w14:textId="77777777" w:rsidR="00B721EF" w:rsidRPr="00B721EF" w:rsidRDefault="00B721EF" w:rsidP="00B721EF">
            <w:pPr>
              <w:spacing w:before="80" w:after="80"/>
              <w:contextualSpacing/>
              <w:rPr>
                <w:rFonts w:ascii="Arial" w:eastAsia="MS Mincho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Gender (%)</w:t>
            </w:r>
          </w:p>
          <w:p w14:paraId="6D481C19" w14:textId="77777777" w:rsidR="00B721EF" w:rsidRPr="00B721EF" w:rsidRDefault="00B721EF" w:rsidP="00B721EF">
            <w:pPr>
              <w:spacing w:before="80" w:after="80"/>
              <w:ind w:left="720"/>
              <w:contextualSpacing/>
              <w:rPr>
                <w:rFonts w:ascii="Arial" w:eastAsia="MS Mincho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male</w:t>
            </w:r>
          </w:p>
          <w:p w14:paraId="0F7CFF98" w14:textId="026AE871" w:rsidR="00B721EF" w:rsidRPr="00B721EF" w:rsidRDefault="00B721EF" w:rsidP="00B721EF">
            <w:pPr>
              <w:ind w:left="7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87" w:type="pct"/>
            <w:tcBorders>
              <w:left w:val="nil"/>
              <w:right w:val="nil"/>
            </w:tcBorders>
            <w:noWrap/>
            <w:hideMark/>
          </w:tcPr>
          <w:p w14:paraId="4966153A" w14:textId="77777777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4935F3" w14:textId="32C66DFC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53 (63.1%)</w:t>
            </w:r>
          </w:p>
          <w:p w14:paraId="4FA789FC" w14:textId="2E0031ED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31 (36.9%)</w:t>
            </w:r>
          </w:p>
        </w:tc>
        <w:tc>
          <w:tcPr>
            <w:tcW w:w="1235" w:type="pct"/>
            <w:tcBorders>
              <w:left w:val="nil"/>
              <w:right w:val="nil"/>
            </w:tcBorders>
            <w:noWrap/>
            <w:hideMark/>
          </w:tcPr>
          <w:p w14:paraId="69657929" w14:textId="77777777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E61A52" w14:textId="7640EBC5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49 (73.1%) </w:t>
            </w:r>
          </w:p>
          <w:p w14:paraId="3A8CA25E" w14:textId="634E1CB2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18 (26.9%)</w:t>
            </w:r>
          </w:p>
        </w:tc>
        <w:tc>
          <w:tcPr>
            <w:tcW w:w="493" w:type="pct"/>
            <w:tcBorders>
              <w:left w:val="nil"/>
              <w:right w:val="nil"/>
            </w:tcBorders>
          </w:tcPr>
          <w:p w14:paraId="403DBD40" w14:textId="60315013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0.223</w:t>
            </w:r>
          </w:p>
        </w:tc>
      </w:tr>
      <w:tr w:rsidR="00B721EF" w:rsidRPr="00B721EF" w14:paraId="007BBE73" w14:textId="77777777" w:rsidTr="0019535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tcBorders>
              <w:left w:val="nil"/>
              <w:right w:val="nil"/>
            </w:tcBorders>
            <w:noWrap/>
            <w:hideMark/>
          </w:tcPr>
          <w:p w14:paraId="45825638" w14:textId="77777777" w:rsidR="00B721EF" w:rsidRPr="00B721EF" w:rsidRDefault="00B721EF" w:rsidP="00B721EF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Cirrhosis (%)</w:t>
            </w:r>
          </w:p>
          <w:p w14:paraId="34327537" w14:textId="77777777" w:rsidR="00B721EF" w:rsidRPr="00B721EF" w:rsidRDefault="00B721EF" w:rsidP="00B721EF">
            <w:pPr>
              <w:ind w:left="708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yes</w:t>
            </w:r>
          </w:p>
          <w:p w14:paraId="7E5BFC84" w14:textId="0EC794C7" w:rsidR="00B721EF" w:rsidRPr="00B721EF" w:rsidRDefault="00B721EF" w:rsidP="00B721EF">
            <w:pPr>
              <w:ind w:left="7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987" w:type="pct"/>
            <w:tcBorders>
              <w:left w:val="nil"/>
              <w:right w:val="nil"/>
            </w:tcBorders>
            <w:noWrap/>
            <w:hideMark/>
          </w:tcPr>
          <w:p w14:paraId="29F35222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A2B7B1" w14:textId="63362303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75 (83.3%)</w:t>
            </w:r>
          </w:p>
          <w:p w14:paraId="5B6DFD3B" w14:textId="660C8BF2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9 (10.7%)</w:t>
            </w:r>
          </w:p>
        </w:tc>
        <w:tc>
          <w:tcPr>
            <w:tcW w:w="1235" w:type="pct"/>
            <w:tcBorders>
              <w:left w:val="nil"/>
              <w:right w:val="nil"/>
            </w:tcBorders>
            <w:noWrap/>
            <w:hideMark/>
          </w:tcPr>
          <w:p w14:paraId="2598AB0F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E72421" w14:textId="604E2CAF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52 (74.6%)</w:t>
            </w:r>
          </w:p>
          <w:p w14:paraId="7A620357" w14:textId="71B190FD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15 (22.4%)</w:t>
            </w:r>
          </w:p>
        </w:tc>
        <w:tc>
          <w:tcPr>
            <w:tcW w:w="493" w:type="pct"/>
            <w:tcBorders>
              <w:left w:val="nil"/>
              <w:right w:val="nil"/>
            </w:tcBorders>
          </w:tcPr>
          <w:p w14:paraId="1D271C77" w14:textId="56E69DA1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0.072</w:t>
            </w:r>
          </w:p>
        </w:tc>
      </w:tr>
      <w:tr w:rsidR="00B721EF" w:rsidRPr="00B721EF" w14:paraId="2703CF43" w14:textId="77777777" w:rsidTr="0019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tcBorders>
              <w:left w:val="nil"/>
              <w:right w:val="nil"/>
            </w:tcBorders>
            <w:noWrap/>
            <w:hideMark/>
          </w:tcPr>
          <w:p w14:paraId="28323DAA" w14:textId="77777777" w:rsidR="00B721EF" w:rsidRPr="00B721EF" w:rsidRDefault="00B721EF" w:rsidP="00B721EF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Portal hypertension (%)</w:t>
            </w:r>
          </w:p>
          <w:p w14:paraId="2A745CC1" w14:textId="77777777" w:rsidR="00B721EF" w:rsidRPr="00B721EF" w:rsidRDefault="00B721EF" w:rsidP="00B721EF">
            <w:pPr>
              <w:ind w:left="708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yes</w:t>
            </w:r>
          </w:p>
          <w:p w14:paraId="17B4F100" w14:textId="4D172238" w:rsidR="00B721EF" w:rsidRPr="00B721EF" w:rsidRDefault="00B721EF" w:rsidP="00B721EF">
            <w:pPr>
              <w:ind w:left="708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987" w:type="pct"/>
            <w:tcBorders>
              <w:left w:val="nil"/>
              <w:right w:val="nil"/>
            </w:tcBorders>
            <w:noWrap/>
            <w:hideMark/>
          </w:tcPr>
          <w:p w14:paraId="138E438D" w14:textId="77777777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C234B0" w14:textId="02185E8D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25 (</w:t>
            </w:r>
            <w:r w:rsidR="0009531A">
              <w:rPr>
                <w:rFonts w:ascii="Arial" w:hAnsi="Arial" w:cs="Arial"/>
                <w:color w:val="000000" w:themeColor="text1"/>
                <w:sz w:val="20"/>
                <w:szCs w:val="20"/>
              </w:rPr>
              <w:t>29.8</w:t>
            </w: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%)</w:t>
            </w:r>
          </w:p>
          <w:p w14:paraId="5C6C342E" w14:textId="62C0031B" w:rsidR="00B721EF" w:rsidRPr="00B721EF" w:rsidRDefault="0009531A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59</w:t>
            </w:r>
            <w:r w:rsidR="00B721EF"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70.2</w:t>
            </w:r>
            <w:r w:rsidR="00B721EF"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235" w:type="pct"/>
            <w:tcBorders>
              <w:left w:val="nil"/>
              <w:right w:val="nil"/>
            </w:tcBorders>
            <w:noWrap/>
            <w:hideMark/>
          </w:tcPr>
          <w:p w14:paraId="3E1AA64C" w14:textId="77777777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6A866E" w14:textId="1703F2F4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14 (2</w:t>
            </w:r>
            <w:r w:rsidR="0009531A">
              <w:rPr>
                <w:rFonts w:ascii="Arial" w:hAnsi="Arial" w:cs="Arial"/>
                <w:color w:val="000000" w:themeColor="text1"/>
                <w:sz w:val="20"/>
                <w:szCs w:val="20"/>
              </w:rPr>
              <w:t>0.9</w:t>
            </w: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%)</w:t>
            </w:r>
          </w:p>
          <w:p w14:paraId="54B3F51D" w14:textId="0C43327A" w:rsidR="00B721EF" w:rsidRPr="00B721EF" w:rsidRDefault="0009531A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53</w:t>
            </w:r>
            <w:r w:rsidR="00B721EF"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79.1</w:t>
            </w:r>
            <w:r w:rsidR="00B721EF"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493" w:type="pct"/>
            <w:tcBorders>
              <w:left w:val="nil"/>
              <w:right w:val="nil"/>
            </w:tcBorders>
          </w:tcPr>
          <w:p w14:paraId="16CF3A7F" w14:textId="18FEE0AA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0.431</w:t>
            </w:r>
          </w:p>
        </w:tc>
      </w:tr>
      <w:tr w:rsidR="00B721EF" w:rsidRPr="00B721EF" w14:paraId="2EA4DF06" w14:textId="77777777" w:rsidTr="0019535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tcBorders>
              <w:left w:val="nil"/>
              <w:right w:val="nil"/>
            </w:tcBorders>
            <w:noWrap/>
          </w:tcPr>
          <w:p w14:paraId="10350C6A" w14:textId="77777777" w:rsidR="00B721EF" w:rsidRPr="00B721EF" w:rsidRDefault="00B721EF" w:rsidP="00B721EF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 xml:space="preserve">Esophageal varices </w:t>
            </w: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(%)</w:t>
            </w:r>
          </w:p>
          <w:p w14:paraId="5E2A0AC9" w14:textId="77777777" w:rsidR="00B721EF" w:rsidRPr="00B721EF" w:rsidRDefault="00B721EF" w:rsidP="00B721EF">
            <w:pPr>
              <w:ind w:left="708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yes</w:t>
            </w:r>
          </w:p>
          <w:p w14:paraId="2ED8CC21" w14:textId="2535B781" w:rsidR="00B721EF" w:rsidRPr="00B721EF" w:rsidRDefault="00B721EF" w:rsidP="00B721EF">
            <w:pPr>
              <w:ind w:left="708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987" w:type="pct"/>
            <w:tcBorders>
              <w:left w:val="nil"/>
              <w:right w:val="nil"/>
            </w:tcBorders>
            <w:noWrap/>
          </w:tcPr>
          <w:p w14:paraId="4E1BD8FE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605B4C" w14:textId="0F117D9C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14 (16.7%)</w:t>
            </w:r>
          </w:p>
          <w:p w14:paraId="149B2FFB" w14:textId="52F62ECE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70 (83.3%)</w:t>
            </w:r>
          </w:p>
        </w:tc>
        <w:tc>
          <w:tcPr>
            <w:tcW w:w="1235" w:type="pct"/>
            <w:tcBorders>
              <w:left w:val="nil"/>
              <w:right w:val="nil"/>
            </w:tcBorders>
            <w:noWrap/>
          </w:tcPr>
          <w:p w14:paraId="208C5A98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7C4BB7" w14:textId="2C25B9B2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8 (11.9%)</w:t>
            </w:r>
          </w:p>
          <w:p w14:paraId="127184CC" w14:textId="5C7704DE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59 (88.1%)</w:t>
            </w:r>
          </w:p>
        </w:tc>
        <w:tc>
          <w:tcPr>
            <w:tcW w:w="493" w:type="pct"/>
            <w:tcBorders>
              <w:left w:val="nil"/>
              <w:right w:val="nil"/>
            </w:tcBorders>
          </w:tcPr>
          <w:p w14:paraId="28004D5E" w14:textId="487B02E8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0.490</w:t>
            </w:r>
          </w:p>
        </w:tc>
      </w:tr>
      <w:tr w:rsidR="00B721EF" w:rsidRPr="00B721EF" w14:paraId="7414D391" w14:textId="77777777" w:rsidTr="0019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tcBorders>
              <w:left w:val="nil"/>
              <w:right w:val="nil"/>
            </w:tcBorders>
            <w:noWrap/>
            <w:hideMark/>
          </w:tcPr>
          <w:p w14:paraId="786B88A2" w14:textId="21F3F470" w:rsidR="00B721EF" w:rsidRPr="00B721EF" w:rsidRDefault="00B721EF" w:rsidP="00B721EF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Child-Pugh (</w:t>
            </w:r>
            <w:proofErr w:type="gramStart"/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%)</w:t>
            </w:r>
            <w:r w:rsidR="009D1E14" w:rsidRPr="005A075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US" w:eastAsia="pt-BR"/>
              </w:rPr>
              <w:t>†</w:t>
            </w:r>
            <w:proofErr w:type="gramEnd"/>
          </w:p>
          <w:p w14:paraId="5065B892" w14:textId="77777777" w:rsidR="00B721EF" w:rsidRPr="00B721EF" w:rsidRDefault="00B721EF" w:rsidP="00B721EF">
            <w:pPr>
              <w:ind w:left="708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A5</w:t>
            </w:r>
          </w:p>
          <w:p w14:paraId="69668D7B" w14:textId="77777777" w:rsidR="00B721EF" w:rsidRPr="00B721EF" w:rsidRDefault="00B721EF" w:rsidP="00B721EF">
            <w:pPr>
              <w:ind w:left="708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A6</w:t>
            </w:r>
          </w:p>
          <w:p w14:paraId="73446C2B" w14:textId="1E4E9CB9" w:rsidR="00B721EF" w:rsidRPr="00B721EF" w:rsidRDefault="00B721EF" w:rsidP="00B721EF">
            <w:pPr>
              <w:ind w:left="708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B7</w:t>
            </w:r>
          </w:p>
        </w:tc>
        <w:tc>
          <w:tcPr>
            <w:tcW w:w="987" w:type="pct"/>
            <w:tcBorders>
              <w:left w:val="nil"/>
              <w:right w:val="nil"/>
            </w:tcBorders>
            <w:noWrap/>
            <w:hideMark/>
          </w:tcPr>
          <w:p w14:paraId="22F6B0AC" w14:textId="77777777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CE4847B" w14:textId="5957F122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09531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(8</w:t>
            </w:r>
            <w:r w:rsidR="0009531A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%)</w:t>
            </w:r>
          </w:p>
          <w:p w14:paraId="15BB6643" w14:textId="7DFF7B24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10 (13.</w:t>
            </w:r>
            <w:r w:rsidR="0009531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%)</w:t>
            </w:r>
          </w:p>
          <w:p w14:paraId="514ECA51" w14:textId="476824AA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2 (2.7%)</w:t>
            </w:r>
          </w:p>
        </w:tc>
        <w:tc>
          <w:tcPr>
            <w:tcW w:w="1235" w:type="pct"/>
            <w:tcBorders>
              <w:left w:val="nil"/>
              <w:right w:val="nil"/>
            </w:tcBorders>
            <w:noWrap/>
            <w:hideMark/>
          </w:tcPr>
          <w:p w14:paraId="56B4652F" w14:textId="77777777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19A9B28" w14:textId="5F5720DF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09531A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(88</w:t>
            </w:r>
            <w:r w:rsidR="0009531A">
              <w:rPr>
                <w:rFonts w:ascii="Arial" w:hAnsi="Arial" w:cs="Arial"/>
                <w:color w:val="000000" w:themeColor="text1"/>
                <w:sz w:val="20"/>
                <w:szCs w:val="20"/>
              </w:rPr>
              <w:t>,5</w:t>
            </w: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%)</w:t>
            </w:r>
          </w:p>
          <w:p w14:paraId="033F3AA2" w14:textId="0B0E4E68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3 (</w:t>
            </w:r>
            <w:r w:rsidR="0009531A">
              <w:rPr>
                <w:rFonts w:ascii="Arial" w:hAnsi="Arial" w:cs="Arial"/>
                <w:color w:val="000000" w:themeColor="text1"/>
                <w:sz w:val="20"/>
                <w:szCs w:val="20"/>
              </w:rPr>
              <w:t>5.8</w:t>
            </w: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%)</w:t>
            </w:r>
          </w:p>
          <w:p w14:paraId="2BB8F7F3" w14:textId="0AF5594B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3 (</w:t>
            </w:r>
            <w:r w:rsidR="0009531A">
              <w:rPr>
                <w:rFonts w:ascii="Arial" w:hAnsi="Arial" w:cs="Arial"/>
                <w:color w:val="000000" w:themeColor="text1"/>
                <w:sz w:val="20"/>
                <w:szCs w:val="20"/>
              </w:rPr>
              <w:t>5.8</w:t>
            </w: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493" w:type="pct"/>
            <w:tcBorders>
              <w:left w:val="nil"/>
              <w:right w:val="nil"/>
            </w:tcBorders>
          </w:tcPr>
          <w:p w14:paraId="720CE75D" w14:textId="7769ADDF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0.351</w:t>
            </w:r>
          </w:p>
        </w:tc>
      </w:tr>
      <w:tr w:rsidR="00B721EF" w:rsidRPr="00B721EF" w14:paraId="4FAD436F" w14:textId="77777777" w:rsidTr="0019535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tcBorders>
              <w:left w:val="nil"/>
              <w:right w:val="nil"/>
            </w:tcBorders>
            <w:noWrap/>
          </w:tcPr>
          <w:p w14:paraId="35EA5365" w14:textId="77777777" w:rsidR="00B721EF" w:rsidRPr="00B721EF" w:rsidRDefault="00B721EF" w:rsidP="00B721EF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MELD</w:t>
            </w:r>
          </w:p>
          <w:p w14:paraId="798E2CD1" w14:textId="77777777" w:rsidR="00B721EF" w:rsidRPr="00B721EF" w:rsidRDefault="00B721EF" w:rsidP="00B721EF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mean ± SD</w:t>
            </w:r>
          </w:p>
          <w:p w14:paraId="79B20656" w14:textId="5E5A5A0A" w:rsidR="00B721EF" w:rsidRPr="00B721EF" w:rsidRDefault="00B721EF" w:rsidP="00B721EF">
            <w:pPr>
              <w:ind w:left="708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median (</w:t>
            </w: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 w:bidi="en-US"/>
              </w:rPr>
              <w:t>quartile 25-75</w:t>
            </w: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987" w:type="pct"/>
            <w:tcBorders>
              <w:left w:val="nil"/>
              <w:right w:val="nil"/>
            </w:tcBorders>
            <w:noWrap/>
            <w:vAlign w:val="center"/>
          </w:tcPr>
          <w:p w14:paraId="3DAA029C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3E32EDC5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 ± 2 </w:t>
            </w:r>
          </w:p>
          <w:p w14:paraId="42D862E7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8 (7-9)</w:t>
            </w:r>
          </w:p>
        </w:tc>
        <w:tc>
          <w:tcPr>
            <w:tcW w:w="1235" w:type="pct"/>
            <w:tcBorders>
              <w:left w:val="nil"/>
              <w:right w:val="nil"/>
            </w:tcBorders>
            <w:noWrap/>
            <w:vAlign w:val="center"/>
          </w:tcPr>
          <w:p w14:paraId="02570493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5727E8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 ± 3 </w:t>
            </w:r>
          </w:p>
          <w:p w14:paraId="2DA2EB71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8 (7-9)</w:t>
            </w:r>
          </w:p>
        </w:tc>
        <w:tc>
          <w:tcPr>
            <w:tcW w:w="493" w:type="pct"/>
            <w:tcBorders>
              <w:left w:val="nil"/>
              <w:right w:val="nil"/>
            </w:tcBorders>
          </w:tcPr>
          <w:p w14:paraId="5E2F17B4" w14:textId="38800F8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0.881</w:t>
            </w:r>
          </w:p>
        </w:tc>
      </w:tr>
      <w:tr w:rsidR="00B721EF" w:rsidRPr="00B721EF" w14:paraId="5B02D7AA" w14:textId="77777777" w:rsidTr="0019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tcBorders>
              <w:left w:val="nil"/>
              <w:right w:val="nil"/>
            </w:tcBorders>
            <w:noWrap/>
          </w:tcPr>
          <w:p w14:paraId="03CAC625" w14:textId="77777777" w:rsidR="00B721EF" w:rsidRPr="00B721EF" w:rsidRDefault="00B721EF" w:rsidP="00B721EF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Bilirubin (g/dL)</w:t>
            </w:r>
          </w:p>
          <w:p w14:paraId="15202E45" w14:textId="77777777" w:rsidR="00B721EF" w:rsidRPr="00B721EF" w:rsidRDefault="00B721EF" w:rsidP="00B721EF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mean ± SD</w:t>
            </w:r>
          </w:p>
          <w:p w14:paraId="34AAE423" w14:textId="0E9BC2B8" w:rsidR="00B721EF" w:rsidRPr="00B721EF" w:rsidRDefault="00B721EF" w:rsidP="00B721EF">
            <w:pPr>
              <w:ind w:left="708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median (</w:t>
            </w: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 w:bidi="en-US"/>
              </w:rPr>
              <w:t>quartile 25-75</w:t>
            </w: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987" w:type="pct"/>
            <w:tcBorders>
              <w:left w:val="nil"/>
              <w:right w:val="nil"/>
            </w:tcBorders>
            <w:noWrap/>
            <w:vAlign w:val="center"/>
          </w:tcPr>
          <w:p w14:paraId="1AFEDF4B" w14:textId="77777777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3EC90C26" w14:textId="4DEB604E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0.7 ± 0.4</w:t>
            </w:r>
          </w:p>
          <w:p w14:paraId="41E3E7B8" w14:textId="002B159F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0.6 (0.4-0.8)</w:t>
            </w:r>
          </w:p>
        </w:tc>
        <w:tc>
          <w:tcPr>
            <w:tcW w:w="1235" w:type="pct"/>
            <w:tcBorders>
              <w:left w:val="nil"/>
              <w:right w:val="nil"/>
            </w:tcBorders>
            <w:noWrap/>
            <w:vAlign w:val="center"/>
          </w:tcPr>
          <w:p w14:paraId="5F3D567B" w14:textId="77777777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2BA851" w14:textId="0DAA2F8A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0.8 ± 0.4 </w:t>
            </w:r>
          </w:p>
          <w:p w14:paraId="58E4FA06" w14:textId="7D10BFA5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0.7 (0.5-0.9)</w:t>
            </w:r>
          </w:p>
        </w:tc>
        <w:tc>
          <w:tcPr>
            <w:tcW w:w="493" w:type="pct"/>
            <w:tcBorders>
              <w:left w:val="nil"/>
              <w:right w:val="nil"/>
            </w:tcBorders>
          </w:tcPr>
          <w:p w14:paraId="6358A6C6" w14:textId="2032F5B6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0.004</w:t>
            </w:r>
          </w:p>
        </w:tc>
      </w:tr>
      <w:tr w:rsidR="00B721EF" w:rsidRPr="00B721EF" w14:paraId="49600210" w14:textId="77777777" w:rsidTr="0019535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tcBorders>
              <w:left w:val="nil"/>
              <w:right w:val="nil"/>
            </w:tcBorders>
            <w:noWrap/>
          </w:tcPr>
          <w:p w14:paraId="27F457D7" w14:textId="21791828" w:rsidR="00B721EF" w:rsidRPr="00B721EF" w:rsidRDefault="00B721EF" w:rsidP="00B721EF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Aspartate</w:t>
            </w:r>
            <w:proofErr w:type="spellEnd"/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aminotransferase</w:t>
            </w:r>
            <w:proofErr w:type="spellEnd"/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(AST, U/L)</w:t>
            </w:r>
          </w:p>
          <w:p w14:paraId="63DAAC31" w14:textId="77777777" w:rsidR="00B721EF" w:rsidRPr="00B721EF" w:rsidRDefault="00B721EF" w:rsidP="00B721EF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mean ± SD</w:t>
            </w:r>
          </w:p>
          <w:p w14:paraId="458C90FE" w14:textId="570CD2E1" w:rsidR="00B721EF" w:rsidRPr="00B721EF" w:rsidRDefault="00B721EF" w:rsidP="00B721EF">
            <w:pPr>
              <w:ind w:left="7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median (</w:t>
            </w: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 w:bidi="en-US"/>
              </w:rPr>
              <w:t>quartile 25-75</w:t>
            </w: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987" w:type="pct"/>
            <w:tcBorders>
              <w:left w:val="nil"/>
              <w:right w:val="nil"/>
            </w:tcBorders>
            <w:noWrap/>
            <w:vAlign w:val="center"/>
          </w:tcPr>
          <w:p w14:paraId="3CA334B8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2A4584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63 ± 66</w:t>
            </w:r>
          </w:p>
          <w:p w14:paraId="5CB9CE84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44 (29-68)</w:t>
            </w:r>
          </w:p>
        </w:tc>
        <w:tc>
          <w:tcPr>
            <w:tcW w:w="1235" w:type="pct"/>
            <w:tcBorders>
              <w:left w:val="nil"/>
              <w:right w:val="nil"/>
            </w:tcBorders>
            <w:noWrap/>
            <w:vAlign w:val="center"/>
          </w:tcPr>
          <w:p w14:paraId="5F347791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DBD8CD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59 ± 53</w:t>
            </w:r>
          </w:p>
          <w:p w14:paraId="5F193C96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40 (26-66)</w:t>
            </w:r>
          </w:p>
        </w:tc>
        <w:tc>
          <w:tcPr>
            <w:tcW w:w="493" w:type="pct"/>
            <w:tcBorders>
              <w:left w:val="nil"/>
              <w:right w:val="nil"/>
            </w:tcBorders>
          </w:tcPr>
          <w:p w14:paraId="66363A1B" w14:textId="41A696DB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0.495</w:t>
            </w:r>
          </w:p>
        </w:tc>
      </w:tr>
      <w:tr w:rsidR="00B721EF" w:rsidRPr="00B721EF" w14:paraId="7ADE76DC" w14:textId="77777777" w:rsidTr="0019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tcBorders>
              <w:left w:val="nil"/>
              <w:right w:val="nil"/>
            </w:tcBorders>
            <w:noWrap/>
            <w:hideMark/>
          </w:tcPr>
          <w:p w14:paraId="630A8A4C" w14:textId="3365ADD3" w:rsidR="00B721EF" w:rsidRPr="00B721EF" w:rsidRDefault="00B721EF" w:rsidP="00B721EF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Alanine</w:t>
            </w:r>
            <w:proofErr w:type="spellEnd"/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aminotransferase</w:t>
            </w:r>
            <w:proofErr w:type="spellEnd"/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(ALT. U/L)</w:t>
            </w:r>
          </w:p>
          <w:p w14:paraId="26687494" w14:textId="77777777" w:rsidR="00B721EF" w:rsidRPr="00B721EF" w:rsidRDefault="00B721EF" w:rsidP="00B721EF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mean ± SD</w:t>
            </w:r>
          </w:p>
          <w:p w14:paraId="6EC84E07" w14:textId="104D2BFC" w:rsidR="00B721EF" w:rsidRPr="00B721EF" w:rsidRDefault="00B721EF" w:rsidP="00B721EF">
            <w:pPr>
              <w:ind w:left="7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median (</w:t>
            </w: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 w:bidi="en-US"/>
              </w:rPr>
              <w:t>quartile 25-75</w:t>
            </w: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987" w:type="pct"/>
            <w:tcBorders>
              <w:left w:val="nil"/>
              <w:right w:val="nil"/>
            </w:tcBorders>
            <w:noWrap/>
            <w:vAlign w:val="center"/>
            <w:hideMark/>
          </w:tcPr>
          <w:p w14:paraId="15664E84" w14:textId="77777777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DEEE0E" w14:textId="77777777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57 ± 46</w:t>
            </w:r>
          </w:p>
          <w:p w14:paraId="535F493B" w14:textId="77777777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46 (28-67)</w:t>
            </w:r>
          </w:p>
        </w:tc>
        <w:tc>
          <w:tcPr>
            <w:tcW w:w="1235" w:type="pct"/>
            <w:tcBorders>
              <w:left w:val="nil"/>
              <w:right w:val="nil"/>
            </w:tcBorders>
            <w:noWrap/>
            <w:vAlign w:val="center"/>
            <w:hideMark/>
          </w:tcPr>
          <w:p w14:paraId="0989347A" w14:textId="77777777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AEF034" w14:textId="77777777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53 ± 58</w:t>
            </w:r>
          </w:p>
          <w:p w14:paraId="2541EA76" w14:textId="77777777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34 (21-69)</w:t>
            </w:r>
          </w:p>
        </w:tc>
        <w:tc>
          <w:tcPr>
            <w:tcW w:w="493" w:type="pct"/>
            <w:tcBorders>
              <w:left w:val="nil"/>
              <w:right w:val="nil"/>
            </w:tcBorders>
          </w:tcPr>
          <w:p w14:paraId="6CCC762C" w14:textId="10E7947E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0.093</w:t>
            </w:r>
          </w:p>
        </w:tc>
      </w:tr>
      <w:tr w:rsidR="00B721EF" w:rsidRPr="00B721EF" w14:paraId="18A30107" w14:textId="77777777" w:rsidTr="0019535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tcBorders>
              <w:left w:val="nil"/>
              <w:right w:val="nil"/>
            </w:tcBorders>
            <w:noWrap/>
            <w:hideMark/>
          </w:tcPr>
          <w:p w14:paraId="52A24A07" w14:textId="77777777" w:rsidR="00B721EF" w:rsidRPr="00B721EF" w:rsidRDefault="00B721EF" w:rsidP="00B721EF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Alpha-fetoprotein (ng/mL)</w:t>
            </w:r>
          </w:p>
          <w:p w14:paraId="36FEBECB" w14:textId="77777777" w:rsidR="00B721EF" w:rsidRPr="00B721EF" w:rsidRDefault="00B721EF" w:rsidP="00B721EF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mean ± SD</w:t>
            </w:r>
          </w:p>
          <w:p w14:paraId="501CBC3C" w14:textId="65EA39D3" w:rsidR="00B721EF" w:rsidRPr="00B721EF" w:rsidRDefault="00B721EF" w:rsidP="00B721EF">
            <w:pPr>
              <w:ind w:left="7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median (</w:t>
            </w: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 w:bidi="en-US"/>
              </w:rPr>
              <w:t>quartile 25-75</w:t>
            </w: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987" w:type="pct"/>
            <w:tcBorders>
              <w:left w:val="nil"/>
              <w:right w:val="nil"/>
            </w:tcBorders>
            <w:noWrap/>
            <w:vAlign w:val="center"/>
            <w:hideMark/>
          </w:tcPr>
          <w:p w14:paraId="796E1818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F9F49CE" w14:textId="5370B3A2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489 ± 1782.7 </w:t>
            </w:r>
          </w:p>
          <w:p w14:paraId="6CDF2BB1" w14:textId="0E202184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18.8 (5.8-174.4)</w:t>
            </w:r>
          </w:p>
        </w:tc>
        <w:tc>
          <w:tcPr>
            <w:tcW w:w="1235" w:type="pct"/>
            <w:tcBorders>
              <w:left w:val="nil"/>
              <w:right w:val="nil"/>
            </w:tcBorders>
            <w:noWrap/>
            <w:vAlign w:val="center"/>
            <w:hideMark/>
          </w:tcPr>
          <w:p w14:paraId="489C068F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B46D19" w14:textId="59302F59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4278.8 ± 13149.5 </w:t>
            </w:r>
          </w:p>
          <w:p w14:paraId="38CA270F" w14:textId="05551196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19 (2.6-161)</w:t>
            </w:r>
          </w:p>
        </w:tc>
        <w:tc>
          <w:tcPr>
            <w:tcW w:w="493" w:type="pct"/>
            <w:tcBorders>
              <w:left w:val="nil"/>
              <w:right w:val="nil"/>
            </w:tcBorders>
          </w:tcPr>
          <w:p w14:paraId="3E492F29" w14:textId="5B57F544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0.390</w:t>
            </w:r>
          </w:p>
        </w:tc>
      </w:tr>
      <w:tr w:rsidR="00B721EF" w:rsidRPr="00B721EF" w14:paraId="4FF801C5" w14:textId="77777777" w:rsidTr="0019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tcBorders>
              <w:left w:val="nil"/>
              <w:right w:val="nil"/>
            </w:tcBorders>
            <w:noWrap/>
            <w:hideMark/>
          </w:tcPr>
          <w:p w14:paraId="10519B90" w14:textId="77777777" w:rsidR="00B721EF" w:rsidRPr="00B721EF" w:rsidRDefault="00B721EF" w:rsidP="00B721EF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Albumin (g/dL)</w:t>
            </w:r>
          </w:p>
          <w:p w14:paraId="25C9A57A" w14:textId="77777777" w:rsidR="00B721EF" w:rsidRPr="00B721EF" w:rsidRDefault="00B721EF" w:rsidP="00B721EF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mean ± SD</w:t>
            </w:r>
          </w:p>
          <w:p w14:paraId="45B1970E" w14:textId="43DDFBB5" w:rsidR="00B721EF" w:rsidRPr="00B721EF" w:rsidRDefault="00B721EF" w:rsidP="00B721EF">
            <w:pPr>
              <w:ind w:left="708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median (</w:t>
            </w: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 w:bidi="en-US"/>
              </w:rPr>
              <w:t>quartile 25-75</w:t>
            </w: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987" w:type="pct"/>
            <w:tcBorders>
              <w:left w:val="nil"/>
              <w:right w:val="nil"/>
            </w:tcBorders>
            <w:noWrap/>
            <w:vAlign w:val="center"/>
            <w:hideMark/>
          </w:tcPr>
          <w:p w14:paraId="48FCD1E5" w14:textId="77777777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60D27EB" w14:textId="522E96AF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4.1 ± 0.6</w:t>
            </w:r>
          </w:p>
          <w:p w14:paraId="61C12129" w14:textId="6479AC32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4.1 (3.8-4.5)</w:t>
            </w:r>
          </w:p>
        </w:tc>
        <w:tc>
          <w:tcPr>
            <w:tcW w:w="1235" w:type="pct"/>
            <w:tcBorders>
              <w:left w:val="nil"/>
              <w:right w:val="nil"/>
            </w:tcBorders>
            <w:noWrap/>
            <w:vAlign w:val="center"/>
            <w:hideMark/>
          </w:tcPr>
          <w:p w14:paraId="492203FA" w14:textId="77777777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FF5EBE" w14:textId="0B61B2FB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4.1 ± 0.5</w:t>
            </w:r>
          </w:p>
          <w:p w14:paraId="37E27F75" w14:textId="7BFB6810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4.1 (3.7-4.5)</w:t>
            </w:r>
          </w:p>
        </w:tc>
        <w:tc>
          <w:tcPr>
            <w:tcW w:w="493" w:type="pct"/>
            <w:tcBorders>
              <w:left w:val="nil"/>
              <w:right w:val="nil"/>
            </w:tcBorders>
          </w:tcPr>
          <w:p w14:paraId="07407C95" w14:textId="41F6A3A8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0.889</w:t>
            </w:r>
          </w:p>
        </w:tc>
      </w:tr>
      <w:tr w:rsidR="00B721EF" w:rsidRPr="00B721EF" w14:paraId="1CB6460B" w14:textId="77777777" w:rsidTr="0019535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tcBorders>
              <w:left w:val="nil"/>
              <w:right w:val="nil"/>
            </w:tcBorders>
            <w:noWrap/>
            <w:hideMark/>
          </w:tcPr>
          <w:p w14:paraId="57D66549" w14:textId="02C42535" w:rsidR="00B721EF" w:rsidRPr="00B721EF" w:rsidRDefault="005A0753" w:rsidP="00B721EF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</w:t>
            </w:r>
            <w:r w:rsidR="00B721EF"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LR</w:t>
            </w:r>
          </w:p>
          <w:p w14:paraId="56F893EF" w14:textId="77777777" w:rsidR="00B721EF" w:rsidRPr="00B721EF" w:rsidRDefault="00B721EF" w:rsidP="00B721EF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mean ± SD</w:t>
            </w:r>
          </w:p>
          <w:p w14:paraId="11252572" w14:textId="19501FAD" w:rsidR="00B721EF" w:rsidRPr="00B721EF" w:rsidRDefault="00B721EF" w:rsidP="00B721EF">
            <w:pPr>
              <w:ind w:left="708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median (</w:t>
            </w: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 w:bidi="en-US"/>
              </w:rPr>
              <w:t>quartile 25-75</w:t>
            </w: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987" w:type="pct"/>
            <w:tcBorders>
              <w:left w:val="nil"/>
              <w:right w:val="nil"/>
            </w:tcBorders>
            <w:noWrap/>
            <w:vAlign w:val="center"/>
            <w:hideMark/>
          </w:tcPr>
          <w:p w14:paraId="591A534A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1FA25A8" w14:textId="7CF206E3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1.6 ± 0.7 </w:t>
            </w:r>
          </w:p>
          <w:p w14:paraId="54838DD3" w14:textId="1229EA45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1.5 (1.1-2.0)</w:t>
            </w:r>
          </w:p>
        </w:tc>
        <w:tc>
          <w:tcPr>
            <w:tcW w:w="1235" w:type="pct"/>
            <w:tcBorders>
              <w:left w:val="nil"/>
              <w:right w:val="nil"/>
            </w:tcBorders>
            <w:noWrap/>
            <w:vAlign w:val="center"/>
            <w:hideMark/>
          </w:tcPr>
          <w:p w14:paraId="55E4B1CA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857FEE" w14:textId="7FE549F1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3.2 ± 3.1</w:t>
            </w:r>
          </w:p>
          <w:p w14:paraId="3989965E" w14:textId="01EA9458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2.5 (1.9-3.6)</w:t>
            </w:r>
          </w:p>
        </w:tc>
        <w:tc>
          <w:tcPr>
            <w:tcW w:w="493" w:type="pct"/>
            <w:tcBorders>
              <w:left w:val="nil"/>
              <w:right w:val="nil"/>
            </w:tcBorders>
          </w:tcPr>
          <w:p w14:paraId="6E5A63DF" w14:textId="67BAD14F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B721EF" w:rsidRPr="00B721EF" w14:paraId="3F019403" w14:textId="77777777" w:rsidTr="0019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tcBorders>
              <w:left w:val="nil"/>
              <w:right w:val="nil"/>
            </w:tcBorders>
            <w:noWrap/>
            <w:hideMark/>
          </w:tcPr>
          <w:p w14:paraId="600246E7" w14:textId="77777777" w:rsidR="00B721EF" w:rsidRPr="00B721EF" w:rsidRDefault="00B721EF" w:rsidP="00B721EF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MLR</w:t>
            </w:r>
          </w:p>
          <w:p w14:paraId="5266F9D6" w14:textId="77777777" w:rsidR="00B721EF" w:rsidRPr="00B721EF" w:rsidRDefault="00B721EF" w:rsidP="00B721EF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mean ± SD</w:t>
            </w:r>
          </w:p>
          <w:p w14:paraId="7FFDBC52" w14:textId="538B727D" w:rsidR="00B721EF" w:rsidRPr="00B721EF" w:rsidRDefault="00B721EF" w:rsidP="00B721EF">
            <w:pPr>
              <w:ind w:left="708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median (</w:t>
            </w: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 w:bidi="en-US"/>
              </w:rPr>
              <w:t>quartile 25-75</w:t>
            </w: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987" w:type="pct"/>
            <w:tcBorders>
              <w:left w:val="nil"/>
              <w:right w:val="nil"/>
            </w:tcBorders>
            <w:noWrap/>
            <w:vAlign w:val="center"/>
            <w:hideMark/>
          </w:tcPr>
          <w:p w14:paraId="442E9C10" w14:textId="77777777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B25D878" w14:textId="6FA0EA56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3.4 ± 2.4</w:t>
            </w:r>
          </w:p>
          <w:p w14:paraId="05EE5873" w14:textId="34D9F196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3.1 (1.8-3.8)</w:t>
            </w:r>
          </w:p>
        </w:tc>
        <w:tc>
          <w:tcPr>
            <w:tcW w:w="1235" w:type="pct"/>
            <w:tcBorders>
              <w:left w:val="nil"/>
              <w:right w:val="nil"/>
            </w:tcBorders>
            <w:noWrap/>
            <w:vAlign w:val="center"/>
            <w:hideMark/>
          </w:tcPr>
          <w:p w14:paraId="23C3F9FD" w14:textId="77777777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5A19F4" w14:textId="6D1FB2BD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4.2 ± 1.6</w:t>
            </w:r>
          </w:p>
          <w:p w14:paraId="0BA28494" w14:textId="7987AB9F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4 (3-5.2)</w:t>
            </w:r>
          </w:p>
        </w:tc>
        <w:tc>
          <w:tcPr>
            <w:tcW w:w="493" w:type="pct"/>
            <w:tcBorders>
              <w:left w:val="nil"/>
              <w:right w:val="nil"/>
            </w:tcBorders>
          </w:tcPr>
          <w:p w14:paraId="74C4DA8F" w14:textId="16F3D323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B721EF" w:rsidRPr="00B721EF" w14:paraId="05679AAC" w14:textId="77777777" w:rsidTr="0019535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tcBorders>
              <w:left w:val="nil"/>
              <w:right w:val="nil"/>
            </w:tcBorders>
            <w:noWrap/>
            <w:hideMark/>
          </w:tcPr>
          <w:p w14:paraId="40793EBB" w14:textId="77777777" w:rsidR="00B721EF" w:rsidRPr="00B721EF" w:rsidRDefault="00B721EF" w:rsidP="00B721EF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Tumor size (mm)</w:t>
            </w:r>
          </w:p>
          <w:p w14:paraId="066866FA" w14:textId="77777777" w:rsidR="00B721EF" w:rsidRPr="00B721EF" w:rsidRDefault="00B721EF" w:rsidP="00B721EF">
            <w:pPr>
              <w:spacing w:before="80" w:after="80"/>
              <w:ind w:left="720" w:hanging="11"/>
              <w:contextualSpacing/>
              <w:rPr>
                <w:rFonts w:ascii="Arial" w:eastAsia="MS Mincho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mean ± SD</w:t>
            </w:r>
          </w:p>
          <w:p w14:paraId="02747D69" w14:textId="6E432C88" w:rsidR="00B721EF" w:rsidRPr="00B721EF" w:rsidRDefault="00B721EF" w:rsidP="00B721EF">
            <w:pPr>
              <w:ind w:left="708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median (</w:t>
            </w: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 w:bidi="en-US"/>
              </w:rPr>
              <w:t>quartile 25-75</w:t>
            </w:r>
            <w:r w:rsidRPr="00B721EF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987" w:type="pct"/>
            <w:tcBorders>
              <w:left w:val="nil"/>
              <w:right w:val="nil"/>
            </w:tcBorders>
            <w:noWrap/>
            <w:vAlign w:val="center"/>
            <w:hideMark/>
          </w:tcPr>
          <w:p w14:paraId="49FBC60A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AE93D82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41 ± 28 </w:t>
            </w:r>
          </w:p>
          <w:p w14:paraId="40E986D5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34 (22-45)</w:t>
            </w:r>
          </w:p>
        </w:tc>
        <w:tc>
          <w:tcPr>
            <w:tcW w:w="1235" w:type="pct"/>
            <w:tcBorders>
              <w:left w:val="nil"/>
              <w:right w:val="nil"/>
            </w:tcBorders>
            <w:noWrap/>
            <w:vAlign w:val="center"/>
            <w:hideMark/>
          </w:tcPr>
          <w:p w14:paraId="59E674B7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187A6D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86 ± 59 </w:t>
            </w:r>
          </w:p>
          <w:p w14:paraId="3B1DA1A8" w14:textId="77777777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75 (40-125)</w:t>
            </w:r>
          </w:p>
        </w:tc>
        <w:tc>
          <w:tcPr>
            <w:tcW w:w="493" w:type="pct"/>
            <w:tcBorders>
              <w:left w:val="nil"/>
              <w:right w:val="nil"/>
            </w:tcBorders>
          </w:tcPr>
          <w:p w14:paraId="7ACF7FD2" w14:textId="1299BD7F" w:rsidR="00B721EF" w:rsidRPr="00B721EF" w:rsidRDefault="00B721EF" w:rsidP="00B7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B721EF" w:rsidRPr="00B721EF" w14:paraId="4B7DAD94" w14:textId="77777777" w:rsidTr="0019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tcBorders>
              <w:left w:val="nil"/>
              <w:right w:val="nil"/>
            </w:tcBorders>
            <w:noWrap/>
            <w:hideMark/>
          </w:tcPr>
          <w:p w14:paraId="64B0EBC9" w14:textId="77777777" w:rsidR="00B721EF" w:rsidRPr="00B721EF" w:rsidRDefault="00B721EF" w:rsidP="00B721EF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Vascular invasion</w:t>
            </w:r>
          </w:p>
          <w:p w14:paraId="7252651E" w14:textId="77777777" w:rsidR="00B721EF" w:rsidRPr="00B721EF" w:rsidRDefault="00B721EF" w:rsidP="00B721EF">
            <w:pPr>
              <w:ind w:left="708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yes</w:t>
            </w:r>
          </w:p>
          <w:p w14:paraId="4F4042FB" w14:textId="5DFE2DB4" w:rsidR="00B721EF" w:rsidRPr="00B721EF" w:rsidRDefault="00B721EF" w:rsidP="00B721EF">
            <w:pPr>
              <w:ind w:left="708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987" w:type="pct"/>
            <w:tcBorders>
              <w:left w:val="nil"/>
              <w:right w:val="nil"/>
            </w:tcBorders>
            <w:noWrap/>
            <w:hideMark/>
          </w:tcPr>
          <w:p w14:paraId="6F56713F" w14:textId="77777777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2436476" w14:textId="77777777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34 (42%)</w:t>
            </w:r>
          </w:p>
          <w:p w14:paraId="4E71F655" w14:textId="77777777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47 (58%)</w:t>
            </w:r>
          </w:p>
        </w:tc>
        <w:tc>
          <w:tcPr>
            <w:tcW w:w="1235" w:type="pct"/>
            <w:tcBorders>
              <w:left w:val="nil"/>
              <w:right w:val="nil"/>
            </w:tcBorders>
            <w:noWrap/>
            <w:hideMark/>
          </w:tcPr>
          <w:p w14:paraId="0503F133" w14:textId="77777777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48EE99" w14:textId="4D186543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41 (62.1%)</w:t>
            </w:r>
          </w:p>
          <w:p w14:paraId="1FF6187C" w14:textId="3F3F6883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color w:val="000000" w:themeColor="text1"/>
                <w:sz w:val="20"/>
                <w:szCs w:val="20"/>
              </w:rPr>
              <w:t>25 (37.9%)</w:t>
            </w:r>
          </w:p>
        </w:tc>
        <w:tc>
          <w:tcPr>
            <w:tcW w:w="493" w:type="pct"/>
            <w:tcBorders>
              <w:left w:val="nil"/>
              <w:right w:val="nil"/>
            </w:tcBorders>
          </w:tcPr>
          <w:p w14:paraId="3F1609AB" w14:textId="56A31CD1" w:rsidR="00B721EF" w:rsidRPr="00B721EF" w:rsidRDefault="00B721EF" w:rsidP="00B7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721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0.020</w:t>
            </w:r>
          </w:p>
        </w:tc>
      </w:tr>
    </w:tbl>
    <w:p w14:paraId="4FB90D42" w14:textId="35C35197" w:rsidR="00B721EF" w:rsidRDefault="00B721EF" w:rsidP="00B721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FA318E">
        <w:rPr>
          <w:rFonts w:ascii="Arial" w:hAnsi="Arial" w:cs="Arial"/>
          <w:sz w:val="20"/>
          <w:szCs w:val="20"/>
          <w:lang w:val="en-US"/>
        </w:rPr>
        <w:t>SD: standard deviation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Pr="00830AAB">
        <w:rPr>
          <w:rFonts w:ascii="Arial" w:hAnsi="Arial" w:cs="Arial"/>
          <w:sz w:val="20"/>
          <w:szCs w:val="20"/>
          <w:lang w:val="en-US"/>
        </w:rPr>
        <w:t xml:space="preserve">MELD: Model </w:t>
      </w:r>
      <w:r w:rsidR="0009531A">
        <w:rPr>
          <w:rFonts w:ascii="Arial" w:hAnsi="Arial" w:cs="Arial"/>
          <w:sz w:val="20"/>
          <w:szCs w:val="20"/>
          <w:lang w:val="en-US"/>
        </w:rPr>
        <w:t>for</w:t>
      </w:r>
      <w:r w:rsidRPr="00830AAB">
        <w:rPr>
          <w:rFonts w:ascii="Arial" w:hAnsi="Arial" w:cs="Arial"/>
          <w:sz w:val="20"/>
          <w:szCs w:val="20"/>
          <w:lang w:val="en-US"/>
        </w:rPr>
        <w:t xml:space="preserve"> End</w:t>
      </w:r>
      <w:r w:rsidR="0009531A">
        <w:rPr>
          <w:rFonts w:ascii="Arial" w:hAnsi="Arial" w:cs="Arial"/>
          <w:sz w:val="20"/>
          <w:szCs w:val="20"/>
          <w:lang w:val="en-US"/>
        </w:rPr>
        <w:t>-</w:t>
      </w:r>
      <w:r w:rsidRPr="00830AAB">
        <w:rPr>
          <w:rFonts w:ascii="Arial" w:hAnsi="Arial" w:cs="Arial"/>
          <w:sz w:val="20"/>
          <w:szCs w:val="20"/>
          <w:lang w:val="en-US"/>
        </w:rPr>
        <w:t>Stage Liver Disease</w:t>
      </w:r>
      <w:r>
        <w:rPr>
          <w:rFonts w:ascii="Arial" w:hAnsi="Arial" w:cs="Arial"/>
          <w:sz w:val="20"/>
          <w:szCs w:val="20"/>
          <w:lang w:val="en-US"/>
        </w:rPr>
        <w:t>;</w:t>
      </w:r>
      <w:r w:rsidRPr="00830AA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830AAB">
        <w:rPr>
          <w:rFonts w:ascii="Arial" w:hAnsi="Arial" w:cs="Arial"/>
          <w:sz w:val="20"/>
          <w:szCs w:val="20"/>
          <w:lang w:val="en-US"/>
        </w:rPr>
        <w:t>L</w:t>
      </w:r>
      <w:r w:rsidRPr="00FA318E">
        <w:rPr>
          <w:rFonts w:ascii="Arial" w:hAnsi="Arial" w:cs="Arial"/>
          <w:sz w:val="20"/>
          <w:szCs w:val="20"/>
          <w:lang w:val="en-US"/>
        </w:rPr>
        <w:t>R</w:t>
      </w:r>
      <w:r w:rsidRPr="00830AAB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>neutrophil</w:t>
      </w:r>
      <w:r w:rsidRPr="00FA318E">
        <w:rPr>
          <w:rFonts w:ascii="Arial" w:hAnsi="Arial" w:cs="Arial"/>
          <w:sz w:val="20"/>
          <w:szCs w:val="20"/>
          <w:lang w:val="en-US"/>
        </w:rPr>
        <w:t>-to-lymphocyte ratio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Pr="00830AAB">
        <w:rPr>
          <w:rFonts w:ascii="Arial" w:hAnsi="Arial" w:cs="Arial"/>
          <w:sz w:val="20"/>
          <w:szCs w:val="20"/>
          <w:lang w:val="en-US"/>
        </w:rPr>
        <w:t>ML</w:t>
      </w:r>
      <w:r w:rsidRPr="00FA318E">
        <w:rPr>
          <w:rFonts w:ascii="Arial" w:hAnsi="Arial" w:cs="Arial"/>
          <w:sz w:val="20"/>
          <w:szCs w:val="20"/>
          <w:lang w:val="en-US"/>
        </w:rPr>
        <w:t>R</w:t>
      </w:r>
      <w:r w:rsidRPr="00830AAB">
        <w:rPr>
          <w:rFonts w:ascii="Arial" w:hAnsi="Arial" w:cs="Arial"/>
          <w:sz w:val="20"/>
          <w:szCs w:val="20"/>
          <w:lang w:val="en-US"/>
        </w:rPr>
        <w:t xml:space="preserve">: </w:t>
      </w:r>
      <w:r w:rsidRPr="00FA318E">
        <w:rPr>
          <w:rFonts w:ascii="Arial" w:hAnsi="Arial" w:cs="Arial"/>
          <w:sz w:val="20"/>
          <w:szCs w:val="20"/>
          <w:lang w:val="en-US"/>
        </w:rPr>
        <w:t xml:space="preserve">monocyte-to-lymphocyte ratio </w:t>
      </w:r>
    </w:p>
    <w:p w14:paraId="7A55E0A5" w14:textId="77777777" w:rsidR="009D1E14" w:rsidRPr="00B9092C" w:rsidRDefault="009D1E14" w:rsidP="009D1E14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092C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  <w:lang w:eastAsia="pt-BR"/>
        </w:rPr>
        <w:t xml:space="preserve">† </w:t>
      </w:r>
      <w:r w:rsidRPr="00B9092C">
        <w:rPr>
          <w:rFonts w:ascii="Arial" w:hAnsi="Arial" w:cs="Arial"/>
          <w:color w:val="000000" w:themeColor="text1"/>
          <w:sz w:val="20"/>
          <w:szCs w:val="20"/>
        </w:rPr>
        <w:t xml:space="preserve">% </w:t>
      </w:r>
      <w:proofErr w:type="spellStart"/>
      <w:r w:rsidRPr="00B9092C">
        <w:rPr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B909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9092C">
        <w:rPr>
          <w:rFonts w:ascii="Arial" w:hAnsi="Arial" w:cs="Arial"/>
          <w:color w:val="000000" w:themeColor="text1"/>
          <w:sz w:val="20"/>
          <w:szCs w:val="20"/>
        </w:rPr>
        <w:t>patients</w:t>
      </w:r>
      <w:proofErr w:type="spellEnd"/>
      <w:r w:rsidRPr="00B909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9092C">
        <w:rPr>
          <w:rFonts w:ascii="Arial" w:hAnsi="Arial" w:cs="Arial"/>
          <w:color w:val="000000" w:themeColor="text1"/>
          <w:sz w:val="20"/>
          <w:szCs w:val="20"/>
        </w:rPr>
        <w:t>with</w:t>
      </w:r>
      <w:proofErr w:type="spellEnd"/>
      <w:r w:rsidRPr="00B909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9092C">
        <w:rPr>
          <w:rFonts w:ascii="Arial" w:hAnsi="Arial" w:cs="Arial"/>
          <w:color w:val="000000" w:themeColor="text1"/>
          <w:sz w:val="20"/>
          <w:szCs w:val="20"/>
        </w:rPr>
        <w:t>cirrhosis</w:t>
      </w:r>
      <w:proofErr w:type="spellEnd"/>
      <w:r w:rsidRPr="00B909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E5A41FF" w14:textId="47A2CA06" w:rsidR="005A43D5" w:rsidRDefault="005A43D5" w:rsidP="00B721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4B2D21B8" w14:textId="77777777" w:rsidR="005A43D5" w:rsidRPr="00830AAB" w:rsidRDefault="005A43D5" w:rsidP="00B721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3F121D63" w14:textId="61233ECE" w:rsidR="0019535B" w:rsidRDefault="0019535B" w:rsidP="00B804C0">
      <w:pPr>
        <w:jc w:val="both"/>
        <w:rPr>
          <w:rFonts w:ascii="Arial" w:hAnsi="Arial" w:cs="Arial"/>
          <w:lang w:val="en-US"/>
        </w:rPr>
      </w:pPr>
    </w:p>
    <w:p w14:paraId="4D7DFCCC" w14:textId="68B00C5C" w:rsidR="00B80BDA" w:rsidRDefault="005A43D5" w:rsidP="00B804C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60FEAD09" wp14:editId="2B90AFAB">
            <wp:extent cx="5396230" cy="3178810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9BA4E" w14:textId="4CE3C033" w:rsidR="005A43D5" w:rsidRDefault="005A43D5" w:rsidP="005A43D5">
      <w:pPr>
        <w:jc w:val="both"/>
        <w:rPr>
          <w:rFonts w:ascii="Arial" w:hAnsi="Arial" w:cs="Arial"/>
          <w:lang w:val="en-US"/>
        </w:rPr>
      </w:pPr>
      <w:proofErr w:type="spellStart"/>
      <w:r w:rsidRPr="005A43D5">
        <w:rPr>
          <w:rFonts w:ascii="Arial" w:hAnsi="Arial" w:cs="Arial"/>
          <w:b/>
          <w:bCs/>
          <w:lang w:val="en-US"/>
        </w:rPr>
        <w:t>sFigure</w:t>
      </w:r>
      <w:proofErr w:type="spellEnd"/>
      <w:r w:rsidRPr="005A43D5">
        <w:rPr>
          <w:rFonts w:ascii="Arial" w:hAnsi="Arial" w:cs="Arial"/>
          <w:b/>
          <w:bCs/>
          <w:lang w:val="en-US"/>
        </w:rPr>
        <w:t xml:space="preserve"> 2.</w:t>
      </w:r>
      <w:r>
        <w:rPr>
          <w:rFonts w:ascii="Arial" w:hAnsi="Arial" w:cs="Arial"/>
          <w:lang w:val="en-US"/>
        </w:rPr>
        <w:t xml:space="preserve"> </w:t>
      </w:r>
      <w:r w:rsidRPr="005A43D5">
        <w:rPr>
          <w:rFonts w:ascii="Arial" w:hAnsi="Arial" w:cs="Arial"/>
          <w:lang w:val="en-US"/>
        </w:rPr>
        <w:t xml:space="preserve">Overall survival of patients </w:t>
      </w:r>
      <w:r>
        <w:rPr>
          <w:rFonts w:ascii="Arial" w:hAnsi="Arial" w:cs="Arial"/>
          <w:lang w:val="en-US"/>
        </w:rPr>
        <w:t xml:space="preserve">with </w:t>
      </w:r>
      <w:r w:rsidRPr="005A43D5">
        <w:rPr>
          <w:rFonts w:ascii="Arial" w:hAnsi="Arial" w:cs="Arial"/>
          <w:lang w:val="en-US"/>
        </w:rPr>
        <w:t xml:space="preserve">hepatocellular carcinoma </w:t>
      </w:r>
      <w:r>
        <w:rPr>
          <w:rFonts w:ascii="Arial" w:hAnsi="Arial" w:cs="Arial"/>
          <w:lang w:val="en-US"/>
        </w:rPr>
        <w:t xml:space="preserve">&lt; 5 cm (Group 1) </w:t>
      </w:r>
      <w:r w:rsidRPr="005A43D5">
        <w:rPr>
          <w:rFonts w:ascii="Arial" w:hAnsi="Arial" w:cs="Arial"/>
          <w:lang w:val="en-US"/>
        </w:rPr>
        <w:t>with low (blue) and high (red) neutrophil-to-lymphocyte ratio (NLR), platelet-to-lymphocyte ratio (PLR), and monocyte-to-lymphocyte ratio (MLR)</w:t>
      </w:r>
    </w:p>
    <w:p w14:paraId="58514CC0" w14:textId="41FA54FD" w:rsidR="001D61FE" w:rsidRDefault="001D61FE" w:rsidP="005A43D5">
      <w:pPr>
        <w:jc w:val="both"/>
        <w:rPr>
          <w:rFonts w:ascii="Arial" w:hAnsi="Arial" w:cs="Arial"/>
          <w:lang w:val="en-US"/>
        </w:rPr>
      </w:pPr>
    </w:p>
    <w:p w14:paraId="3B9B55B0" w14:textId="51330A5E" w:rsidR="001D61FE" w:rsidRDefault="001D61FE" w:rsidP="005A43D5">
      <w:pPr>
        <w:jc w:val="both"/>
        <w:rPr>
          <w:rFonts w:ascii="Arial" w:hAnsi="Arial" w:cs="Arial"/>
          <w:lang w:val="en-US"/>
        </w:rPr>
      </w:pPr>
    </w:p>
    <w:p w14:paraId="2E21924A" w14:textId="58F5E810" w:rsidR="001D61FE" w:rsidRDefault="001D61FE" w:rsidP="005A43D5">
      <w:pPr>
        <w:jc w:val="both"/>
        <w:rPr>
          <w:rFonts w:ascii="Arial" w:hAnsi="Arial" w:cs="Arial"/>
          <w:lang w:val="en-US"/>
        </w:rPr>
      </w:pPr>
    </w:p>
    <w:p w14:paraId="6CD49D14" w14:textId="339AFE5B" w:rsidR="001D61FE" w:rsidRDefault="001D61FE" w:rsidP="005A43D5">
      <w:pPr>
        <w:jc w:val="both"/>
        <w:rPr>
          <w:rFonts w:ascii="Arial" w:hAnsi="Arial" w:cs="Arial"/>
          <w:lang w:val="en-US"/>
        </w:rPr>
      </w:pPr>
    </w:p>
    <w:p w14:paraId="5C1CA6B9" w14:textId="5234F3DA" w:rsidR="001D61FE" w:rsidRDefault="001D61FE" w:rsidP="005A43D5">
      <w:pPr>
        <w:jc w:val="both"/>
        <w:rPr>
          <w:rFonts w:ascii="Arial" w:hAnsi="Arial" w:cs="Arial"/>
          <w:lang w:val="en-US"/>
        </w:rPr>
      </w:pPr>
    </w:p>
    <w:p w14:paraId="547BDA92" w14:textId="707A6D55" w:rsidR="001D61FE" w:rsidRDefault="00CA57B3" w:rsidP="005A43D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23C14274" wp14:editId="1A9DEE72">
            <wp:extent cx="5396230" cy="307467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F071D" w14:textId="4FC72E96" w:rsidR="001D61FE" w:rsidRDefault="001D61FE" w:rsidP="001D61FE">
      <w:pPr>
        <w:jc w:val="both"/>
        <w:rPr>
          <w:rFonts w:ascii="Arial" w:hAnsi="Arial" w:cs="Arial"/>
          <w:lang w:val="en-US"/>
        </w:rPr>
      </w:pPr>
      <w:proofErr w:type="spellStart"/>
      <w:r w:rsidRPr="005A43D5">
        <w:rPr>
          <w:rFonts w:ascii="Arial" w:hAnsi="Arial" w:cs="Arial"/>
          <w:b/>
          <w:bCs/>
          <w:lang w:val="en-US"/>
        </w:rPr>
        <w:t>sFigure</w:t>
      </w:r>
      <w:proofErr w:type="spellEnd"/>
      <w:r w:rsidRPr="005A43D5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3</w:t>
      </w:r>
      <w:r w:rsidRPr="005A43D5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 xml:space="preserve"> Disease-free </w:t>
      </w:r>
      <w:r w:rsidRPr="005A43D5">
        <w:rPr>
          <w:rFonts w:ascii="Arial" w:hAnsi="Arial" w:cs="Arial"/>
          <w:lang w:val="en-US"/>
        </w:rPr>
        <w:t xml:space="preserve">survival of patients </w:t>
      </w:r>
      <w:r>
        <w:rPr>
          <w:rFonts w:ascii="Arial" w:hAnsi="Arial" w:cs="Arial"/>
          <w:lang w:val="en-US"/>
        </w:rPr>
        <w:t xml:space="preserve">with </w:t>
      </w:r>
      <w:r w:rsidRPr="005A43D5">
        <w:rPr>
          <w:rFonts w:ascii="Arial" w:hAnsi="Arial" w:cs="Arial"/>
          <w:lang w:val="en-US"/>
        </w:rPr>
        <w:t xml:space="preserve">hepatocellular carcinoma </w:t>
      </w:r>
      <w:r>
        <w:rPr>
          <w:rFonts w:ascii="Arial" w:hAnsi="Arial" w:cs="Arial"/>
          <w:lang w:val="en-US"/>
        </w:rPr>
        <w:t xml:space="preserve">&lt; 5 cm (Group 1) </w:t>
      </w:r>
      <w:r w:rsidRPr="005A43D5">
        <w:rPr>
          <w:rFonts w:ascii="Arial" w:hAnsi="Arial" w:cs="Arial"/>
          <w:lang w:val="en-US"/>
        </w:rPr>
        <w:t>with low (blue) and high (red) neutrophil-to-lymphocyte ratio (NLR), platelet-to-lymphocyte ratio (PLR), and monocyte-to-lymphocyte ratio (MLR)</w:t>
      </w:r>
    </w:p>
    <w:p w14:paraId="27530D68" w14:textId="38360B40" w:rsidR="008831A7" w:rsidRDefault="008831A7" w:rsidP="001D61FE">
      <w:pPr>
        <w:jc w:val="both"/>
        <w:rPr>
          <w:rFonts w:ascii="Arial" w:hAnsi="Arial" w:cs="Arial"/>
          <w:lang w:val="en-US"/>
        </w:rPr>
      </w:pPr>
    </w:p>
    <w:p w14:paraId="0C5A6022" w14:textId="0226AF94" w:rsidR="008831A7" w:rsidRDefault="008831A7" w:rsidP="001D61FE">
      <w:pPr>
        <w:jc w:val="both"/>
        <w:rPr>
          <w:rFonts w:ascii="Arial" w:hAnsi="Arial" w:cs="Arial"/>
          <w:lang w:val="en-US"/>
        </w:rPr>
      </w:pPr>
    </w:p>
    <w:p w14:paraId="212A6F39" w14:textId="73F9A8DC" w:rsidR="008831A7" w:rsidRDefault="008831A7" w:rsidP="001D61FE">
      <w:pPr>
        <w:jc w:val="both"/>
        <w:rPr>
          <w:rFonts w:ascii="Arial" w:hAnsi="Arial" w:cs="Arial"/>
          <w:lang w:val="en-US"/>
        </w:rPr>
      </w:pPr>
    </w:p>
    <w:p w14:paraId="4BCFF7E2" w14:textId="77777777" w:rsidR="008831A7" w:rsidRPr="00B804C0" w:rsidRDefault="008831A7" w:rsidP="001D61FE">
      <w:pPr>
        <w:jc w:val="both"/>
        <w:rPr>
          <w:rFonts w:ascii="Arial" w:hAnsi="Arial" w:cs="Arial"/>
          <w:lang w:val="en-US"/>
        </w:rPr>
      </w:pPr>
    </w:p>
    <w:p w14:paraId="09BDA3BC" w14:textId="075C36AB" w:rsidR="001D61FE" w:rsidRDefault="004E09F1" w:rsidP="005A43D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77AA0573" wp14:editId="54AC7648">
            <wp:extent cx="5396230" cy="3080385"/>
            <wp:effectExtent l="0" t="0" r="127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10E6F" w14:textId="4353F638" w:rsidR="008831A7" w:rsidRDefault="008831A7" w:rsidP="008831A7">
      <w:pPr>
        <w:jc w:val="both"/>
        <w:rPr>
          <w:rFonts w:ascii="Arial" w:hAnsi="Arial" w:cs="Arial"/>
          <w:lang w:val="en-US"/>
        </w:rPr>
      </w:pPr>
      <w:proofErr w:type="spellStart"/>
      <w:r w:rsidRPr="005A43D5">
        <w:rPr>
          <w:rFonts w:ascii="Arial" w:hAnsi="Arial" w:cs="Arial"/>
          <w:b/>
          <w:bCs/>
          <w:lang w:val="en-US"/>
        </w:rPr>
        <w:t>sFigure</w:t>
      </w:r>
      <w:proofErr w:type="spellEnd"/>
      <w:r w:rsidRPr="005A43D5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4</w:t>
      </w:r>
      <w:r w:rsidRPr="005A43D5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Pr="005A43D5">
        <w:rPr>
          <w:rFonts w:ascii="Arial" w:hAnsi="Arial" w:cs="Arial"/>
          <w:lang w:val="en-US"/>
        </w:rPr>
        <w:t xml:space="preserve">Overall survival of patients </w:t>
      </w:r>
      <w:r>
        <w:rPr>
          <w:rFonts w:ascii="Arial" w:hAnsi="Arial" w:cs="Arial"/>
          <w:lang w:val="en-US"/>
        </w:rPr>
        <w:t xml:space="preserve">with </w:t>
      </w:r>
      <w:r w:rsidRPr="005A43D5">
        <w:rPr>
          <w:rFonts w:ascii="Arial" w:hAnsi="Arial" w:cs="Arial"/>
          <w:lang w:val="en-US"/>
        </w:rPr>
        <w:t xml:space="preserve">hepatocellular carcinoma </w:t>
      </w:r>
      <w:r w:rsidR="00E03E96">
        <w:rPr>
          <w:rFonts w:ascii="Arial" w:hAnsi="Arial" w:cs="Arial"/>
          <w:lang w:val="en-US"/>
        </w:rPr>
        <w:t>between</w:t>
      </w:r>
      <w:r>
        <w:rPr>
          <w:rFonts w:ascii="Arial" w:hAnsi="Arial" w:cs="Arial"/>
          <w:lang w:val="en-US"/>
        </w:rPr>
        <w:t xml:space="preserve"> 5</w:t>
      </w:r>
      <w:r w:rsidR="00E03E96">
        <w:rPr>
          <w:rFonts w:ascii="Arial" w:hAnsi="Arial" w:cs="Arial"/>
          <w:lang w:val="en-US"/>
        </w:rPr>
        <w:t xml:space="preserve"> and 10</w:t>
      </w:r>
      <w:r>
        <w:rPr>
          <w:rFonts w:ascii="Arial" w:hAnsi="Arial" w:cs="Arial"/>
          <w:lang w:val="en-US"/>
        </w:rPr>
        <w:t xml:space="preserve"> cm (Group </w:t>
      </w:r>
      <w:r w:rsidR="00E03E96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 xml:space="preserve">) </w:t>
      </w:r>
      <w:r w:rsidRPr="005A43D5">
        <w:rPr>
          <w:rFonts w:ascii="Arial" w:hAnsi="Arial" w:cs="Arial"/>
          <w:lang w:val="en-US"/>
        </w:rPr>
        <w:t>with low (blue) and high (red) neutrophil-to-lymphocyte ratio (NLR), platelet-to-lymphocyte ratio (PLR), and monocyte-to-lymphocyte ratio (MLR)</w:t>
      </w:r>
    </w:p>
    <w:p w14:paraId="07199A64" w14:textId="035CC514" w:rsidR="008E4C36" w:rsidRDefault="008E4C36" w:rsidP="008831A7">
      <w:pPr>
        <w:jc w:val="both"/>
        <w:rPr>
          <w:rFonts w:ascii="Arial" w:hAnsi="Arial" w:cs="Arial"/>
          <w:lang w:val="en-US"/>
        </w:rPr>
      </w:pPr>
    </w:p>
    <w:p w14:paraId="1901380E" w14:textId="5ED035DE" w:rsidR="008E4C36" w:rsidRDefault="008E4C36" w:rsidP="008831A7">
      <w:pPr>
        <w:jc w:val="both"/>
        <w:rPr>
          <w:rFonts w:ascii="Arial" w:hAnsi="Arial" w:cs="Arial"/>
          <w:lang w:val="en-US"/>
        </w:rPr>
      </w:pPr>
    </w:p>
    <w:p w14:paraId="3D0DEDB5" w14:textId="2B1B47CA" w:rsidR="008E4C36" w:rsidRDefault="008E4C36" w:rsidP="008831A7">
      <w:pPr>
        <w:jc w:val="both"/>
        <w:rPr>
          <w:rFonts w:ascii="Arial" w:hAnsi="Arial" w:cs="Arial"/>
          <w:lang w:val="en-US"/>
        </w:rPr>
      </w:pPr>
    </w:p>
    <w:p w14:paraId="6F70A674" w14:textId="0486A6EC" w:rsidR="008E4C36" w:rsidRDefault="008E4C36" w:rsidP="008831A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3CBE4D9A" wp14:editId="4C2ECFE3">
            <wp:extent cx="5396230" cy="3077845"/>
            <wp:effectExtent l="0" t="0" r="127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20A0F" w14:textId="61EF9370" w:rsidR="008E4C36" w:rsidRDefault="008E4C36" w:rsidP="008E4C36">
      <w:pPr>
        <w:jc w:val="both"/>
        <w:rPr>
          <w:rFonts w:ascii="Arial" w:hAnsi="Arial" w:cs="Arial"/>
          <w:lang w:val="en-US"/>
        </w:rPr>
      </w:pPr>
      <w:proofErr w:type="spellStart"/>
      <w:r w:rsidRPr="005A43D5">
        <w:rPr>
          <w:rFonts w:ascii="Arial" w:hAnsi="Arial" w:cs="Arial"/>
          <w:b/>
          <w:bCs/>
          <w:lang w:val="en-US"/>
        </w:rPr>
        <w:t>sFigure</w:t>
      </w:r>
      <w:proofErr w:type="spellEnd"/>
      <w:r w:rsidRPr="005A43D5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5</w:t>
      </w:r>
      <w:r w:rsidRPr="005A43D5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 xml:space="preserve"> Disease-free</w:t>
      </w:r>
      <w:r w:rsidRPr="005A43D5">
        <w:rPr>
          <w:rFonts w:ascii="Arial" w:hAnsi="Arial" w:cs="Arial"/>
          <w:lang w:val="en-US"/>
        </w:rPr>
        <w:t xml:space="preserve"> survival of patients </w:t>
      </w:r>
      <w:r>
        <w:rPr>
          <w:rFonts w:ascii="Arial" w:hAnsi="Arial" w:cs="Arial"/>
          <w:lang w:val="en-US"/>
        </w:rPr>
        <w:t xml:space="preserve">with </w:t>
      </w:r>
      <w:r w:rsidRPr="005A43D5">
        <w:rPr>
          <w:rFonts w:ascii="Arial" w:hAnsi="Arial" w:cs="Arial"/>
          <w:lang w:val="en-US"/>
        </w:rPr>
        <w:t xml:space="preserve">hepatocellular carcinoma </w:t>
      </w:r>
      <w:r>
        <w:rPr>
          <w:rFonts w:ascii="Arial" w:hAnsi="Arial" w:cs="Arial"/>
          <w:lang w:val="en-US"/>
        </w:rPr>
        <w:t xml:space="preserve">between 5 and 10 cm (Group 2) </w:t>
      </w:r>
      <w:r w:rsidRPr="005A43D5">
        <w:rPr>
          <w:rFonts w:ascii="Arial" w:hAnsi="Arial" w:cs="Arial"/>
          <w:lang w:val="en-US"/>
        </w:rPr>
        <w:t>with low (blue) and high (red) neutrophil-to-lymphocyte ratio (NLR), platelet-to-lymphocyte ratio (PLR), and monocyte-to-lymphocyte ratio (MLR)</w:t>
      </w:r>
    </w:p>
    <w:p w14:paraId="3EF82D0B" w14:textId="51E4D46A" w:rsidR="0037323C" w:rsidRDefault="0037323C" w:rsidP="008E4C36">
      <w:pPr>
        <w:jc w:val="both"/>
        <w:rPr>
          <w:rFonts w:ascii="Arial" w:hAnsi="Arial" w:cs="Arial"/>
          <w:lang w:val="en-US"/>
        </w:rPr>
      </w:pPr>
    </w:p>
    <w:p w14:paraId="52B5C30B" w14:textId="2208635A" w:rsidR="0037323C" w:rsidRDefault="0037323C" w:rsidP="008E4C36">
      <w:pPr>
        <w:jc w:val="both"/>
        <w:rPr>
          <w:rFonts w:ascii="Arial" w:hAnsi="Arial" w:cs="Arial"/>
          <w:lang w:val="en-US"/>
        </w:rPr>
      </w:pPr>
    </w:p>
    <w:p w14:paraId="36D82BD1" w14:textId="1E15CCA4" w:rsidR="0037323C" w:rsidRDefault="0037323C" w:rsidP="008E4C36">
      <w:pPr>
        <w:jc w:val="both"/>
        <w:rPr>
          <w:rFonts w:ascii="Arial" w:hAnsi="Arial" w:cs="Arial"/>
          <w:lang w:val="en-US"/>
        </w:rPr>
      </w:pPr>
    </w:p>
    <w:p w14:paraId="45586FA4" w14:textId="6CBFCC07" w:rsidR="0037323C" w:rsidRDefault="0037323C" w:rsidP="008E4C36">
      <w:pPr>
        <w:jc w:val="both"/>
        <w:rPr>
          <w:rFonts w:ascii="Arial" w:hAnsi="Arial" w:cs="Arial"/>
          <w:lang w:val="en-US"/>
        </w:rPr>
      </w:pPr>
    </w:p>
    <w:p w14:paraId="15032680" w14:textId="77777777" w:rsidR="0037323C" w:rsidRDefault="0037323C" w:rsidP="008E4C36">
      <w:pPr>
        <w:jc w:val="both"/>
        <w:rPr>
          <w:rFonts w:ascii="Arial" w:hAnsi="Arial" w:cs="Arial"/>
          <w:lang w:val="en-US"/>
        </w:rPr>
      </w:pPr>
    </w:p>
    <w:p w14:paraId="78FB30F4" w14:textId="77777777" w:rsidR="008E4C36" w:rsidRDefault="008E4C36" w:rsidP="008831A7">
      <w:pPr>
        <w:jc w:val="both"/>
        <w:rPr>
          <w:rFonts w:ascii="Arial" w:hAnsi="Arial" w:cs="Arial"/>
          <w:lang w:val="en-US"/>
        </w:rPr>
      </w:pPr>
    </w:p>
    <w:p w14:paraId="6F322FCF" w14:textId="34E8BD04" w:rsidR="008831A7" w:rsidRDefault="0037323C" w:rsidP="005A43D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E10AF12" wp14:editId="603164A9">
            <wp:extent cx="5396230" cy="3162935"/>
            <wp:effectExtent l="0" t="0" r="127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4323" w14:textId="68586393" w:rsidR="0037323C" w:rsidRDefault="0037323C" w:rsidP="0037323C">
      <w:pPr>
        <w:jc w:val="both"/>
        <w:rPr>
          <w:rFonts w:ascii="Arial" w:hAnsi="Arial" w:cs="Arial"/>
          <w:lang w:val="en-US"/>
        </w:rPr>
      </w:pPr>
      <w:proofErr w:type="spellStart"/>
      <w:r w:rsidRPr="005A43D5">
        <w:rPr>
          <w:rFonts w:ascii="Arial" w:hAnsi="Arial" w:cs="Arial"/>
          <w:b/>
          <w:bCs/>
          <w:lang w:val="en-US"/>
        </w:rPr>
        <w:t>sFigure</w:t>
      </w:r>
      <w:proofErr w:type="spellEnd"/>
      <w:r w:rsidRPr="005A43D5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6</w:t>
      </w:r>
      <w:r w:rsidRPr="005A43D5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Pr="005A43D5">
        <w:rPr>
          <w:rFonts w:ascii="Arial" w:hAnsi="Arial" w:cs="Arial"/>
          <w:lang w:val="en-US"/>
        </w:rPr>
        <w:t xml:space="preserve">Overall survival of patients </w:t>
      </w:r>
      <w:r>
        <w:rPr>
          <w:rFonts w:ascii="Arial" w:hAnsi="Arial" w:cs="Arial"/>
          <w:lang w:val="en-US"/>
        </w:rPr>
        <w:t xml:space="preserve">with </w:t>
      </w:r>
      <w:r w:rsidRPr="005A43D5">
        <w:rPr>
          <w:rFonts w:ascii="Arial" w:hAnsi="Arial" w:cs="Arial"/>
          <w:lang w:val="en-US"/>
        </w:rPr>
        <w:t xml:space="preserve">hepatocellular carcinoma </w:t>
      </w:r>
      <w:r>
        <w:rPr>
          <w:rFonts w:ascii="Arial" w:hAnsi="Arial" w:cs="Arial"/>
          <w:lang w:val="en-US"/>
        </w:rPr>
        <w:t xml:space="preserve">&gt; 10 cm (Group 3) </w:t>
      </w:r>
      <w:r w:rsidRPr="005A43D5">
        <w:rPr>
          <w:rFonts w:ascii="Arial" w:hAnsi="Arial" w:cs="Arial"/>
          <w:lang w:val="en-US"/>
        </w:rPr>
        <w:t>with low (blue) and high (red) neutrophil-to-lymphocyte ratio (NLR), platelet-to-lymphocyte ratio (PLR), and monocyte-to-lymphocyte ratio (MLR)</w:t>
      </w:r>
    </w:p>
    <w:p w14:paraId="21F0E030" w14:textId="30D5467D" w:rsidR="00EA39A7" w:rsidRDefault="00EA39A7" w:rsidP="0037323C">
      <w:pPr>
        <w:jc w:val="both"/>
        <w:rPr>
          <w:rFonts w:ascii="Arial" w:hAnsi="Arial" w:cs="Arial"/>
          <w:lang w:val="en-US"/>
        </w:rPr>
      </w:pPr>
    </w:p>
    <w:p w14:paraId="00FDF3F8" w14:textId="29851A4E" w:rsidR="00EA39A7" w:rsidRDefault="00EA39A7" w:rsidP="0037323C">
      <w:pPr>
        <w:jc w:val="both"/>
        <w:rPr>
          <w:rFonts w:ascii="Arial" w:hAnsi="Arial" w:cs="Arial"/>
          <w:lang w:val="en-US"/>
        </w:rPr>
      </w:pPr>
    </w:p>
    <w:p w14:paraId="724EF86D" w14:textId="3461860F" w:rsidR="00EA39A7" w:rsidRDefault="00EA39A7" w:rsidP="0037323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1C60B096" wp14:editId="6166DF4E">
            <wp:extent cx="5396230" cy="3203575"/>
            <wp:effectExtent l="0" t="0" r="127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52FAB" w14:textId="57E0E04F" w:rsidR="00EA39A7" w:rsidRDefault="00EA39A7" w:rsidP="00EA39A7">
      <w:pPr>
        <w:jc w:val="both"/>
        <w:rPr>
          <w:rFonts w:ascii="Arial" w:hAnsi="Arial" w:cs="Arial"/>
          <w:lang w:val="en-US"/>
        </w:rPr>
      </w:pPr>
      <w:proofErr w:type="spellStart"/>
      <w:r w:rsidRPr="005A43D5">
        <w:rPr>
          <w:rFonts w:ascii="Arial" w:hAnsi="Arial" w:cs="Arial"/>
          <w:b/>
          <w:bCs/>
          <w:lang w:val="en-US"/>
        </w:rPr>
        <w:t>sFigure</w:t>
      </w:r>
      <w:proofErr w:type="spellEnd"/>
      <w:r w:rsidRPr="005A43D5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7</w:t>
      </w:r>
      <w:r w:rsidRPr="005A43D5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 xml:space="preserve"> Disease-free</w:t>
      </w:r>
      <w:r w:rsidRPr="005A43D5">
        <w:rPr>
          <w:rFonts w:ascii="Arial" w:hAnsi="Arial" w:cs="Arial"/>
          <w:lang w:val="en-US"/>
        </w:rPr>
        <w:t xml:space="preserve"> survival of patients </w:t>
      </w:r>
      <w:r>
        <w:rPr>
          <w:rFonts w:ascii="Arial" w:hAnsi="Arial" w:cs="Arial"/>
          <w:lang w:val="en-US"/>
        </w:rPr>
        <w:t xml:space="preserve">with </w:t>
      </w:r>
      <w:r w:rsidRPr="005A43D5">
        <w:rPr>
          <w:rFonts w:ascii="Arial" w:hAnsi="Arial" w:cs="Arial"/>
          <w:lang w:val="en-US"/>
        </w:rPr>
        <w:t xml:space="preserve">hepatocellular carcinoma </w:t>
      </w:r>
      <w:r>
        <w:rPr>
          <w:rFonts w:ascii="Arial" w:hAnsi="Arial" w:cs="Arial"/>
          <w:lang w:val="en-US"/>
        </w:rPr>
        <w:t xml:space="preserve">&gt; 10 cm (Group 3) </w:t>
      </w:r>
      <w:r w:rsidRPr="005A43D5">
        <w:rPr>
          <w:rFonts w:ascii="Arial" w:hAnsi="Arial" w:cs="Arial"/>
          <w:lang w:val="en-US"/>
        </w:rPr>
        <w:t>with low (blue) and high (red) neutrophil-to-lymphocyte ratio (NLR), platelet-to-lymphocyte ratio (PLR), and monocyte-to-lymphocyte ratio (MLR)</w:t>
      </w:r>
    </w:p>
    <w:p w14:paraId="5FA804FD" w14:textId="77777777" w:rsidR="0037323C" w:rsidRPr="00B804C0" w:rsidRDefault="0037323C" w:rsidP="005A43D5">
      <w:pPr>
        <w:jc w:val="both"/>
        <w:rPr>
          <w:rFonts w:ascii="Arial" w:hAnsi="Arial" w:cs="Arial"/>
          <w:lang w:val="en-US"/>
        </w:rPr>
      </w:pPr>
    </w:p>
    <w:sectPr w:rsidR="0037323C" w:rsidRPr="00B804C0" w:rsidSect="00775F0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C0"/>
    <w:rsid w:val="00050305"/>
    <w:rsid w:val="000533F9"/>
    <w:rsid w:val="000552B1"/>
    <w:rsid w:val="000934A5"/>
    <w:rsid w:val="0009531A"/>
    <w:rsid w:val="000A3B44"/>
    <w:rsid w:val="000A7DC1"/>
    <w:rsid w:val="000B24F0"/>
    <w:rsid w:val="000D5EBA"/>
    <w:rsid w:val="000E51D0"/>
    <w:rsid w:val="001011D3"/>
    <w:rsid w:val="00104BA2"/>
    <w:rsid w:val="0014755D"/>
    <w:rsid w:val="0017551E"/>
    <w:rsid w:val="00180F34"/>
    <w:rsid w:val="00181677"/>
    <w:rsid w:val="00182006"/>
    <w:rsid w:val="0019535B"/>
    <w:rsid w:val="001D1563"/>
    <w:rsid w:val="001D61FE"/>
    <w:rsid w:val="001E3B60"/>
    <w:rsid w:val="00211ED8"/>
    <w:rsid w:val="002D0234"/>
    <w:rsid w:val="002F17D9"/>
    <w:rsid w:val="003032AD"/>
    <w:rsid w:val="00310FA3"/>
    <w:rsid w:val="00322BE6"/>
    <w:rsid w:val="0032647D"/>
    <w:rsid w:val="0032662D"/>
    <w:rsid w:val="003554A5"/>
    <w:rsid w:val="003711E9"/>
    <w:rsid w:val="0037323C"/>
    <w:rsid w:val="003836B1"/>
    <w:rsid w:val="0038561C"/>
    <w:rsid w:val="003879B1"/>
    <w:rsid w:val="003B6E1F"/>
    <w:rsid w:val="003C0848"/>
    <w:rsid w:val="004C0EE6"/>
    <w:rsid w:val="004C1088"/>
    <w:rsid w:val="004D7F06"/>
    <w:rsid w:val="004E09F1"/>
    <w:rsid w:val="00520A30"/>
    <w:rsid w:val="005A0753"/>
    <w:rsid w:val="005A43D5"/>
    <w:rsid w:val="0060194F"/>
    <w:rsid w:val="00650D90"/>
    <w:rsid w:val="006E4C0A"/>
    <w:rsid w:val="006E7FBD"/>
    <w:rsid w:val="00701D80"/>
    <w:rsid w:val="00752C2B"/>
    <w:rsid w:val="0077514F"/>
    <w:rsid w:val="00775F09"/>
    <w:rsid w:val="00790540"/>
    <w:rsid w:val="008177D4"/>
    <w:rsid w:val="008453EB"/>
    <w:rsid w:val="00875E56"/>
    <w:rsid w:val="008831A7"/>
    <w:rsid w:val="00894398"/>
    <w:rsid w:val="008B7ADD"/>
    <w:rsid w:val="008E4C36"/>
    <w:rsid w:val="00932EAF"/>
    <w:rsid w:val="009933E6"/>
    <w:rsid w:val="009A74D0"/>
    <w:rsid w:val="009C299F"/>
    <w:rsid w:val="009D1E14"/>
    <w:rsid w:val="009D5DAB"/>
    <w:rsid w:val="009D63AE"/>
    <w:rsid w:val="00A40FB3"/>
    <w:rsid w:val="00A45F1C"/>
    <w:rsid w:val="00A931A1"/>
    <w:rsid w:val="00AA0129"/>
    <w:rsid w:val="00AB5791"/>
    <w:rsid w:val="00AC2CA4"/>
    <w:rsid w:val="00AD7C77"/>
    <w:rsid w:val="00B53E76"/>
    <w:rsid w:val="00B568D0"/>
    <w:rsid w:val="00B721EF"/>
    <w:rsid w:val="00B804C0"/>
    <w:rsid w:val="00B80BDA"/>
    <w:rsid w:val="00BB127A"/>
    <w:rsid w:val="00BC0949"/>
    <w:rsid w:val="00BD779F"/>
    <w:rsid w:val="00BE0407"/>
    <w:rsid w:val="00BE7BBD"/>
    <w:rsid w:val="00C1721B"/>
    <w:rsid w:val="00C271EA"/>
    <w:rsid w:val="00C819F0"/>
    <w:rsid w:val="00C81F0C"/>
    <w:rsid w:val="00C9088D"/>
    <w:rsid w:val="00CA57B3"/>
    <w:rsid w:val="00CF33BC"/>
    <w:rsid w:val="00D00A27"/>
    <w:rsid w:val="00D0570F"/>
    <w:rsid w:val="00D22931"/>
    <w:rsid w:val="00D564B4"/>
    <w:rsid w:val="00D62708"/>
    <w:rsid w:val="00DA54AC"/>
    <w:rsid w:val="00DF7FDC"/>
    <w:rsid w:val="00E03E96"/>
    <w:rsid w:val="00E322B0"/>
    <w:rsid w:val="00EA39A7"/>
    <w:rsid w:val="00F219F6"/>
    <w:rsid w:val="00F40B5C"/>
    <w:rsid w:val="00F64134"/>
    <w:rsid w:val="00FA0E61"/>
    <w:rsid w:val="00FA1F2F"/>
    <w:rsid w:val="00FA318E"/>
    <w:rsid w:val="00FA65B3"/>
    <w:rsid w:val="00FC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88A652"/>
  <w15:chartTrackingRefBased/>
  <w15:docId w15:val="{C76C7EF4-E2ED-8343-89ED-A391CC42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eGrade4-nfase31">
    <w:name w:val="Tabela de Grade 4 - Ênfase 31"/>
    <w:basedOn w:val="Tabelanormal"/>
    <w:uiPriority w:val="49"/>
    <w:rsid w:val="00211ED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3B6E1F"/>
    <w:pPr>
      <w:ind w:left="720"/>
      <w:contextualSpacing/>
    </w:pPr>
  </w:style>
  <w:style w:type="table" w:styleId="SimplesTabela2">
    <w:name w:val="Plain Table 2"/>
    <w:basedOn w:val="Tabelanormal"/>
    <w:uiPriority w:val="42"/>
    <w:rsid w:val="003B6E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1138</Words>
  <Characters>6046</Characters>
  <Application>Microsoft Office Word</Application>
  <DocSecurity>0</DocSecurity>
  <Lines>120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Coelho</dc:creator>
  <cp:keywords/>
  <dc:description/>
  <cp:lastModifiedBy>Joao Paulo Maciel</cp:lastModifiedBy>
  <cp:revision>2</cp:revision>
  <dcterms:created xsi:type="dcterms:W3CDTF">2021-09-01T18:55:00Z</dcterms:created>
  <dcterms:modified xsi:type="dcterms:W3CDTF">2021-09-01T18:55:00Z</dcterms:modified>
</cp:coreProperties>
</file>