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BCC7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S1. DLT evaluable patients and reasons of DLT non-evaluability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99"/>
        <w:gridCol w:w="1263"/>
        <w:gridCol w:w="1265"/>
        <w:gridCol w:w="1263"/>
        <w:gridCol w:w="1265"/>
        <w:gridCol w:w="1263"/>
        <w:gridCol w:w="1265"/>
        <w:gridCol w:w="1265"/>
      </w:tblGrid>
      <w:tr w:rsidR="00DE1875" w:rsidRPr="006303FB" w14:paraId="75311CED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52960D43" w14:textId="77777777" w:rsidR="00DE1875" w:rsidRPr="006303FB" w:rsidRDefault="00DE1875" w:rsidP="00FC379F">
            <w:pPr>
              <w:rPr>
                <w:b/>
                <w:bCs/>
              </w:rPr>
            </w:pPr>
          </w:p>
        </w:tc>
        <w:tc>
          <w:tcPr>
            <w:tcW w:w="947" w:type="dxa"/>
            <w:noWrap/>
            <w:vAlign w:val="center"/>
          </w:tcPr>
          <w:p w14:paraId="61879DA0" w14:textId="77777777" w:rsidR="00DE1875" w:rsidRPr="006303FB" w:rsidRDefault="00DE1875" w:rsidP="00FC379F">
            <w:pPr>
              <w:jc w:val="center"/>
            </w:pPr>
            <w:r>
              <w:t>Norm</w:t>
            </w:r>
          </w:p>
        </w:tc>
        <w:tc>
          <w:tcPr>
            <w:tcW w:w="948" w:type="dxa"/>
            <w:noWrap/>
            <w:vAlign w:val="center"/>
          </w:tcPr>
          <w:p w14:paraId="2AB6FE9C" w14:textId="77777777" w:rsidR="00DE1875" w:rsidRPr="006303FB" w:rsidRDefault="00DE1875" w:rsidP="00FC379F">
            <w:pPr>
              <w:jc w:val="center"/>
            </w:pPr>
            <w:r>
              <w:t>Mild</w:t>
            </w:r>
          </w:p>
        </w:tc>
        <w:tc>
          <w:tcPr>
            <w:tcW w:w="947" w:type="dxa"/>
            <w:noWrap/>
            <w:vAlign w:val="center"/>
          </w:tcPr>
          <w:p w14:paraId="49526756" w14:textId="77777777" w:rsidR="00DE1875" w:rsidRDefault="00DE1875" w:rsidP="00FC379F">
            <w:pPr>
              <w:jc w:val="center"/>
            </w:pPr>
            <w:r>
              <w:t>Mod</w:t>
            </w:r>
          </w:p>
          <w:p w14:paraId="79531EB6" w14:textId="77777777" w:rsidR="00DE1875" w:rsidRPr="006303FB" w:rsidRDefault="00DE1875" w:rsidP="00FC379F">
            <w:pPr>
              <w:jc w:val="center"/>
            </w:pPr>
            <w:r>
              <w:t>(1.5mg)</w:t>
            </w:r>
          </w:p>
        </w:tc>
        <w:tc>
          <w:tcPr>
            <w:tcW w:w="948" w:type="dxa"/>
            <w:noWrap/>
            <w:vAlign w:val="center"/>
          </w:tcPr>
          <w:p w14:paraId="04CE2F78" w14:textId="77777777" w:rsidR="00DE1875" w:rsidRDefault="00DE1875" w:rsidP="00FC379F">
            <w:pPr>
              <w:jc w:val="center"/>
            </w:pPr>
            <w:r>
              <w:t>Mod</w:t>
            </w:r>
          </w:p>
          <w:p w14:paraId="74FFD21A" w14:textId="77777777" w:rsidR="00DE1875" w:rsidRPr="006303FB" w:rsidRDefault="00DE1875" w:rsidP="00FC379F">
            <w:pPr>
              <w:jc w:val="center"/>
            </w:pPr>
            <w:r>
              <w:t>(2mg)</w:t>
            </w:r>
          </w:p>
        </w:tc>
        <w:tc>
          <w:tcPr>
            <w:tcW w:w="947" w:type="dxa"/>
            <w:noWrap/>
            <w:vAlign w:val="center"/>
          </w:tcPr>
          <w:p w14:paraId="152C228A" w14:textId="77777777" w:rsidR="00DE1875" w:rsidRDefault="00DE1875" w:rsidP="00FC379F">
            <w:pPr>
              <w:jc w:val="center"/>
            </w:pPr>
            <w:proofErr w:type="spellStart"/>
            <w:r>
              <w:t>Sev</w:t>
            </w:r>
            <w:proofErr w:type="spellEnd"/>
          </w:p>
          <w:p w14:paraId="5935BB9B" w14:textId="77777777" w:rsidR="00DE1875" w:rsidRPr="006303FB" w:rsidRDefault="00DE1875" w:rsidP="00FC379F">
            <w:pPr>
              <w:jc w:val="center"/>
            </w:pPr>
            <w:r>
              <w:t>(1mg)</w:t>
            </w:r>
          </w:p>
        </w:tc>
        <w:tc>
          <w:tcPr>
            <w:tcW w:w="948" w:type="dxa"/>
            <w:noWrap/>
            <w:vAlign w:val="center"/>
          </w:tcPr>
          <w:p w14:paraId="7D6B2157" w14:textId="77777777" w:rsidR="00DE1875" w:rsidRDefault="00DE1875" w:rsidP="00FC379F">
            <w:pPr>
              <w:jc w:val="center"/>
            </w:pPr>
            <w:proofErr w:type="spellStart"/>
            <w:r>
              <w:t>Sev</w:t>
            </w:r>
            <w:proofErr w:type="spellEnd"/>
          </w:p>
          <w:p w14:paraId="11EB065D" w14:textId="77777777" w:rsidR="00DE1875" w:rsidRPr="006303FB" w:rsidRDefault="00DE1875" w:rsidP="00FC379F">
            <w:pPr>
              <w:jc w:val="center"/>
            </w:pPr>
            <w:r>
              <w:t>(1.5mg)</w:t>
            </w:r>
          </w:p>
        </w:tc>
        <w:tc>
          <w:tcPr>
            <w:tcW w:w="948" w:type="dxa"/>
            <w:noWrap/>
            <w:vAlign w:val="center"/>
          </w:tcPr>
          <w:p w14:paraId="005FC5BA" w14:textId="77777777" w:rsidR="00DE1875" w:rsidRPr="006303FB" w:rsidRDefault="00DE1875" w:rsidP="00FC379F">
            <w:pPr>
              <w:jc w:val="center"/>
            </w:pPr>
            <w:r>
              <w:t>Total</w:t>
            </w:r>
          </w:p>
        </w:tc>
      </w:tr>
      <w:tr w:rsidR="00DE1875" w:rsidRPr="006303FB" w14:paraId="195D4BB0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782F9E51" w14:textId="77777777" w:rsidR="00DE1875" w:rsidRPr="006303FB" w:rsidRDefault="00DE1875" w:rsidP="00FC379F">
            <w:pPr>
              <w:rPr>
                <w:b/>
                <w:bCs/>
              </w:rPr>
            </w:pPr>
            <w:r>
              <w:rPr>
                <w:b/>
                <w:bCs/>
              </w:rPr>
              <w:t>Number of patients</w:t>
            </w:r>
          </w:p>
        </w:tc>
        <w:tc>
          <w:tcPr>
            <w:tcW w:w="947" w:type="dxa"/>
            <w:noWrap/>
            <w:vAlign w:val="center"/>
          </w:tcPr>
          <w:p w14:paraId="55D97925" w14:textId="77777777" w:rsidR="00DE1875" w:rsidRDefault="00DE1875" w:rsidP="00FC379F">
            <w:pPr>
              <w:jc w:val="center"/>
            </w:pPr>
            <w:r>
              <w:t>17</w:t>
            </w:r>
          </w:p>
        </w:tc>
        <w:tc>
          <w:tcPr>
            <w:tcW w:w="948" w:type="dxa"/>
            <w:noWrap/>
            <w:vAlign w:val="center"/>
          </w:tcPr>
          <w:p w14:paraId="130953B1" w14:textId="77777777" w:rsidR="00DE1875" w:rsidRDefault="00DE1875" w:rsidP="00FC379F">
            <w:pPr>
              <w:jc w:val="center"/>
            </w:pPr>
            <w:r>
              <w:t>7</w:t>
            </w:r>
          </w:p>
        </w:tc>
        <w:tc>
          <w:tcPr>
            <w:tcW w:w="947" w:type="dxa"/>
            <w:noWrap/>
            <w:vAlign w:val="center"/>
          </w:tcPr>
          <w:p w14:paraId="67DC5935" w14:textId="77777777" w:rsidR="00DE1875" w:rsidRDefault="00DE1875" w:rsidP="00FC379F">
            <w:pPr>
              <w:jc w:val="center"/>
            </w:pPr>
            <w:r>
              <w:t>4</w:t>
            </w:r>
          </w:p>
        </w:tc>
        <w:tc>
          <w:tcPr>
            <w:tcW w:w="948" w:type="dxa"/>
            <w:noWrap/>
            <w:vAlign w:val="center"/>
          </w:tcPr>
          <w:p w14:paraId="0B573108" w14:textId="77777777" w:rsidR="00DE1875" w:rsidRDefault="00DE1875" w:rsidP="00FC379F">
            <w:pPr>
              <w:jc w:val="center"/>
            </w:pPr>
            <w:r>
              <w:t>5</w:t>
            </w:r>
          </w:p>
        </w:tc>
        <w:tc>
          <w:tcPr>
            <w:tcW w:w="947" w:type="dxa"/>
            <w:noWrap/>
            <w:vAlign w:val="center"/>
          </w:tcPr>
          <w:p w14:paraId="2B00AD2A" w14:textId="77777777" w:rsidR="00DE1875" w:rsidRDefault="00DE1875" w:rsidP="00FC379F">
            <w:pPr>
              <w:jc w:val="center"/>
            </w:pPr>
            <w:r>
              <w:t>9</w:t>
            </w:r>
          </w:p>
        </w:tc>
        <w:tc>
          <w:tcPr>
            <w:tcW w:w="948" w:type="dxa"/>
            <w:noWrap/>
            <w:vAlign w:val="center"/>
          </w:tcPr>
          <w:p w14:paraId="53FFF302" w14:textId="77777777" w:rsidR="00DE1875" w:rsidRDefault="00DE1875" w:rsidP="00FC379F">
            <w:pPr>
              <w:jc w:val="center"/>
            </w:pPr>
            <w:r>
              <w:t>2</w:t>
            </w:r>
          </w:p>
        </w:tc>
        <w:tc>
          <w:tcPr>
            <w:tcW w:w="948" w:type="dxa"/>
            <w:noWrap/>
            <w:vAlign w:val="center"/>
          </w:tcPr>
          <w:p w14:paraId="1D1A69E6" w14:textId="77777777" w:rsidR="00DE1875" w:rsidRDefault="00DE1875" w:rsidP="00FC379F">
            <w:pPr>
              <w:jc w:val="center"/>
            </w:pPr>
            <w:r>
              <w:t>44</w:t>
            </w:r>
          </w:p>
        </w:tc>
      </w:tr>
      <w:tr w:rsidR="00DE1875" w:rsidRPr="006303FB" w14:paraId="31FE8BC3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2B2D5C15" w14:textId="77777777" w:rsidR="00DE1875" w:rsidRDefault="00DE1875" w:rsidP="00FC379F">
            <w:pPr>
              <w:spacing w:line="259" w:lineRule="auto"/>
              <w:rPr>
                <w:b/>
                <w:bCs/>
              </w:rPr>
            </w:pPr>
            <w:r w:rsidRPr="006303FB">
              <w:rPr>
                <w:b/>
                <w:bCs/>
              </w:rPr>
              <w:t>DLT evaluable</w:t>
            </w:r>
            <w:r>
              <w:rPr>
                <w:b/>
                <w:bCs/>
              </w:rPr>
              <w:t xml:space="preserve"> patients</w:t>
            </w:r>
          </w:p>
          <w:p w14:paraId="06324D80" w14:textId="77777777" w:rsidR="00DE1875" w:rsidRPr="006303FB" w:rsidRDefault="00DE1875" w:rsidP="00FC379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(DLT period cycle 1=28 days)</w:t>
            </w:r>
          </w:p>
        </w:tc>
        <w:tc>
          <w:tcPr>
            <w:tcW w:w="947" w:type="dxa"/>
            <w:noWrap/>
            <w:vAlign w:val="center"/>
          </w:tcPr>
          <w:p w14:paraId="52D3DFFF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NA</w:t>
            </w:r>
          </w:p>
        </w:tc>
        <w:tc>
          <w:tcPr>
            <w:tcW w:w="948" w:type="dxa"/>
            <w:noWrap/>
            <w:vAlign w:val="center"/>
          </w:tcPr>
          <w:p w14:paraId="254511D4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6</w:t>
            </w:r>
          </w:p>
        </w:tc>
        <w:tc>
          <w:tcPr>
            <w:tcW w:w="947" w:type="dxa"/>
            <w:noWrap/>
            <w:vAlign w:val="center"/>
          </w:tcPr>
          <w:p w14:paraId="65C9C3D6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3</w:t>
            </w:r>
          </w:p>
        </w:tc>
        <w:tc>
          <w:tcPr>
            <w:tcW w:w="948" w:type="dxa"/>
            <w:noWrap/>
            <w:vAlign w:val="center"/>
          </w:tcPr>
          <w:p w14:paraId="086AD012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2</w:t>
            </w:r>
          </w:p>
        </w:tc>
        <w:tc>
          <w:tcPr>
            <w:tcW w:w="947" w:type="dxa"/>
            <w:noWrap/>
            <w:vAlign w:val="center"/>
          </w:tcPr>
          <w:p w14:paraId="04BD0887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3</w:t>
            </w:r>
          </w:p>
        </w:tc>
        <w:tc>
          <w:tcPr>
            <w:tcW w:w="948" w:type="dxa"/>
            <w:noWrap/>
            <w:vAlign w:val="center"/>
          </w:tcPr>
          <w:p w14:paraId="62FCC92E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1</w:t>
            </w:r>
          </w:p>
        </w:tc>
        <w:tc>
          <w:tcPr>
            <w:tcW w:w="948" w:type="dxa"/>
            <w:noWrap/>
            <w:vAlign w:val="center"/>
          </w:tcPr>
          <w:p w14:paraId="16BED503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6303FB">
              <w:t>15</w:t>
            </w:r>
          </w:p>
        </w:tc>
      </w:tr>
      <w:tr w:rsidR="00DE1875" w:rsidRPr="006303FB" w14:paraId="1A59349A" w14:textId="77777777" w:rsidTr="00FC379F">
        <w:trPr>
          <w:trHeight w:val="292"/>
        </w:trPr>
        <w:tc>
          <w:tcPr>
            <w:tcW w:w="10456" w:type="dxa"/>
            <w:gridSpan w:val="8"/>
            <w:noWrap/>
            <w:vAlign w:val="center"/>
          </w:tcPr>
          <w:p w14:paraId="0D44901C" w14:textId="77777777" w:rsidR="00DE1875" w:rsidRPr="006303FB" w:rsidRDefault="00DE1875" w:rsidP="00FC379F">
            <w:pPr>
              <w:jc w:val="center"/>
            </w:pPr>
            <w:r>
              <w:rPr>
                <w:b/>
                <w:bCs/>
              </w:rPr>
              <w:t>Reasons for DLT non-evaluability</w:t>
            </w:r>
          </w:p>
        </w:tc>
      </w:tr>
      <w:tr w:rsidR="00DE1875" w:rsidRPr="006303FB" w14:paraId="0939A83C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6B43B4C9" w14:textId="77777777" w:rsidR="00DE1875" w:rsidRPr="00BF00B9" w:rsidRDefault="00DE1875" w:rsidP="00DE187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BF00B9">
              <w:rPr>
                <w:b/>
                <w:bCs/>
              </w:rPr>
              <w:t>Withdrawal of consent</w:t>
            </w:r>
          </w:p>
        </w:tc>
        <w:tc>
          <w:tcPr>
            <w:tcW w:w="947" w:type="dxa"/>
            <w:noWrap/>
            <w:vAlign w:val="center"/>
          </w:tcPr>
          <w:p w14:paraId="1F7B6FBE" w14:textId="77777777" w:rsidR="00DE1875" w:rsidRPr="006303FB" w:rsidRDefault="00DE1875" w:rsidP="00FC379F">
            <w:pPr>
              <w:jc w:val="center"/>
            </w:pPr>
            <w:r>
              <w:t>NA</w:t>
            </w:r>
          </w:p>
        </w:tc>
        <w:tc>
          <w:tcPr>
            <w:tcW w:w="948" w:type="dxa"/>
            <w:noWrap/>
            <w:vAlign w:val="center"/>
          </w:tcPr>
          <w:p w14:paraId="5D7A9514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47" w:type="dxa"/>
            <w:noWrap/>
            <w:vAlign w:val="center"/>
          </w:tcPr>
          <w:p w14:paraId="42B5FDED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5ADB48E2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7" w:type="dxa"/>
            <w:noWrap/>
            <w:vAlign w:val="center"/>
          </w:tcPr>
          <w:p w14:paraId="2987F380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5F953078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7971438E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</w:tr>
      <w:tr w:rsidR="00DE1875" w:rsidRPr="006303FB" w14:paraId="158405C0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03F7ACD7" w14:textId="77777777" w:rsidR="00DE1875" w:rsidRPr="00BF00B9" w:rsidRDefault="00DE1875" w:rsidP="00DE187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Dose interruption/modification due to treatment unrelated AEs</w:t>
            </w:r>
          </w:p>
        </w:tc>
        <w:tc>
          <w:tcPr>
            <w:tcW w:w="947" w:type="dxa"/>
            <w:noWrap/>
            <w:vAlign w:val="center"/>
          </w:tcPr>
          <w:p w14:paraId="4FAE5992" w14:textId="77777777" w:rsidR="00DE1875" w:rsidRPr="006303FB" w:rsidRDefault="00DE1875" w:rsidP="00FC379F">
            <w:pPr>
              <w:jc w:val="center"/>
            </w:pPr>
            <w:r>
              <w:t>NA</w:t>
            </w:r>
          </w:p>
        </w:tc>
        <w:tc>
          <w:tcPr>
            <w:tcW w:w="948" w:type="dxa"/>
            <w:noWrap/>
            <w:vAlign w:val="center"/>
          </w:tcPr>
          <w:p w14:paraId="6EAF08FB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7" w:type="dxa"/>
            <w:noWrap/>
            <w:vAlign w:val="center"/>
          </w:tcPr>
          <w:p w14:paraId="4BF8884F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48" w:type="dxa"/>
            <w:noWrap/>
            <w:vAlign w:val="center"/>
          </w:tcPr>
          <w:p w14:paraId="189213BF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47" w:type="dxa"/>
            <w:noWrap/>
            <w:vAlign w:val="center"/>
          </w:tcPr>
          <w:p w14:paraId="370C4015" w14:textId="77777777" w:rsidR="00DE1875" w:rsidRPr="006303FB" w:rsidRDefault="00DE1875" w:rsidP="00FC379F">
            <w:pPr>
              <w:jc w:val="center"/>
            </w:pPr>
            <w:r>
              <w:t>3</w:t>
            </w:r>
          </w:p>
        </w:tc>
        <w:tc>
          <w:tcPr>
            <w:tcW w:w="948" w:type="dxa"/>
            <w:noWrap/>
            <w:vAlign w:val="center"/>
          </w:tcPr>
          <w:p w14:paraId="6C033A38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52DD7951" w14:textId="77777777" w:rsidR="00DE1875" w:rsidRPr="006303FB" w:rsidRDefault="00DE1875" w:rsidP="00FC379F">
            <w:pPr>
              <w:jc w:val="center"/>
            </w:pPr>
            <w:r>
              <w:t>5</w:t>
            </w:r>
          </w:p>
        </w:tc>
      </w:tr>
      <w:tr w:rsidR="00DE1875" w:rsidRPr="006303FB" w14:paraId="328BAB7D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04DD4AC1" w14:textId="77777777" w:rsidR="00DE1875" w:rsidRDefault="00DE1875" w:rsidP="00DE187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F733BB">
              <w:rPr>
                <w:b/>
                <w:bCs/>
              </w:rPr>
              <w:t>Dose interruption/modification due to treatment related AEs</w:t>
            </w:r>
          </w:p>
        </w:tc>
        <w:tc>
          <w:tcPr>
            <w:tcW w:w="947" w:type="dxa"/>
            <w:noWrap/>
            <w:vAlign w:val="center"/>
          </w:tcPr>
          <w:p w14:paraId="388983D6" w14:textId="77777777" w:rsidR="00DE1875" w:rsidRPr="006303FB" w:rsidRDefault="00DE1875" w:rsidP="00FC379F">
            <w:pPr>
              <w:jc w:val="center"/>
            </w:pPr>
            <w:r>
              <w:t>NA</w:t>
            </w:r>
          </w:p>
        </w:tc>
        <w:tc>
          <w:tcPr>
            <w:tcW w:w="948" w:type="dxa"/>
            <w:noWrap/>
            <w:vAlign w:val="center"/>
          </w:tcPr>
          <w:p w14:paraId="0E938BA7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7" w:type="dxa"/>
            <w:noWrap/>
            <w:vAlign w:val="center"/>
          </w:tcPr>
          <w:p w14:paraId="4D613027" w14:textId="77777777" w:rsidR="00DE1875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248121A2" w14:textId="77777777" w:rsidR="00DE1875" w:rsidRDefault="00DE1875" w:rsidP="00FC379F">
            <w:pPr>
              <w:jc w:val="center"/>
            </w:pPr>
            <w:r>
              <w:t>1*</w:t>
            </w:r>
          </w:p>
        </w:tc>
        <w:tc>
          <w:tcPr>
            <w:tcW w:w="947" w:type="dxa"/>
            <w:noWrap/>
            <w:vAlign w:val="center"/>
          </w:tcPr>
          <w:p w14:paraId="08F4190C" w14:textId="77777777" w:rsidR="00DE1875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1771A8FE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7E6CE49F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</w:tr>
      <w:tr w:rsidR="00DE1875" w:rsidRPr="006303FB" w14:paraId="2F8E1051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333E9A7A" w14:textId="77777777" w:rsidR="00DE1875" w:rsidRPr="00BF00B9" w:rsidRDefault="00DE1875" w:rsidP="00DE187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Disease progression</w:t>
            </w:r>
          </w:p>
        </w:tc>
        <w:tc>
          <w:tcPr>
            <w:tcW w:w="947" w:type="dxa"/>
            <w:noWrap/>
            <w:vAlign w:val="center"/>
          </w:tcPr>
          <w:p w14:paraId="03B8F96A" w14:textId="77777777" w:rsidR="00DE1875" w:rsidRPr="006303FB" w:rsidRDefault="00DE1875" w:rsidP="00FC379F">
            <w:pPr>
              <w:jc w:val="center"/>
            </w:pPr>
            <w:r>
              <w:t>NA</w:t>
            </w:r>
          </w:p>
        </w:tc>
        <w:tc>
          <w:tcPr>
            <w:tcW w:w="948" w:type="dxa"/>
            <w:noWrap/>
            <w:vAlign w:val="center"/>
          </w:tcPr>
          <w:p w14:paraId="6A4508BC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7" w:type="dxa"/>
            <w:noWrap/>
            <w:vAlign w:val="center"/>
          </w:tcPr>
          <w:p w14:paraId="756CFB18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70E9D003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47" w:type="dxa"/>
            <w:noWrap/>
            <w:vAlign w:val="center"/>
          </w:tcPr>
          <w:p w14:paraId="54DDEC83" w14:textId="77777777" w:rsidR="00DE1875" w:rsidRPr="006303FB" w:rsidRDefault="00DE1875" w:rsidP="00FC379F">
            <w:pPr>
              <w:jc w:val="center"/>
            </w:pPr>
            <w:r>
              <w:t>2</w:t>
            </w:r>
          </w:p>
        </w:tc>
        <w:tc>
          <w:tcPr>
            <w:tcW w:w="948" w:type="dxa"/>
            <w:noWrap/>
            <w:vAlign w:val="center"/>
          </w:tcPr>
          <w:p w14:paraId="60C74D4E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48" w:type="dxa"/>
            <w:noWrap/>
            <w:vAlign w:val="center"/>
          </w:tcPr>
          <w:p w14:paraId="58EDA2DE" w14:textId="77777777" w:rsidR="00DE1875" w:rsidRPr="006303FB" w:rsidRDefault="00DE1875" w:rsidP="00FC379F">
            <w:pPr>
              <w:jc w:val="center"/>
            </w:pPr>
            <w:r>
              <w:t>4</w:t>
            </w:r>
          </w:p>
        </w:tc>
      </w:tr>
      <w:tr w:rsidR="00DE1875" w:rsidRPr="006303FB" w14:paraId="25784FC9" w14:textId="77777777" w:rsidTr="00FC379F">
        <w:trPr>
          <w:trHeight w:val="292"/>
        </w:trPr>
        <w:tc>
          <w:tcPr>
            <w:tcW w:w="3823" w:type="dxa"/>
            <w:noWrap/>
            <w:vAlign w:val="center"/>
          </w:tcPr>
          <w:p w14:paraId="7814BBF4" w14:textId="77777777" w:rsidR="00DE1875" w:rsidRPr="00AB0397" w:rsidRDefault="00DE1875" w:rsidP="00DE187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947" w:type="dxa"/>
            <w:noWrap/>
            <w:vAlign w:val="center"/>
          </w:tcPr>
          <w:p w14:paraId="4E7B7940" w14:textId="77777777" w:rsidR="00DE1875" w:rsidRPr="006303FB" w:rsidRDefault="00DE1875" w:rsidP="00FC379F">
            <w:pPr>
              <w:jc w:val="center"/>
            </w:pPr>
            <w:r>
              <w:t>NA</w:t>
            </w:r>
          </w:p>
        </w:tc>
        <w:tc>
          <w:tcPr>
            <w:tcW w:w="948" w:type="dxa"/>
            <w:noWrap/>
            <w:vAlign w:val="center"/>
          </w:tcPr>
          <w:p w14:paraId="71E75E98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7" w:type="dxa"/>
            <w:noWrap/>
            <w:vAlign w:val="center"/>
          </w:tcPr>
          <w:p w14:paraId="5424DEF6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258A5305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7" w:type="dxa"/>
            <w:noWrap/>
            <w:vAlign w:val="center"/>
          </w:tcPr>
          <w:p w14:paraId="469F9D84" w14:textId="77777777" w:rsidR="00DE1875" w:rsidRPr="006303FB" w:rsidRDefault="00DE1875" w:rsidP="00FC379F">
            <w:pPr>
              <w:jc w:val="center"/>
            </w:pPr>
            <w:r>
              <w:t>1**</w:t>
            </w:r>
          </w:p>
        </w:tc>
        <w:tc>
          <w:tcPr>
            <w:tcW w:w="948" w:type="dxa"/>
            <w:noWrap/>
            <w:vAlign w:val="center"/>
          </w:tcPr>
          <w:p w14:paraId="746A9B5B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48" w:type="dxa"/>
            <w:noWrap/>
            <w:vAlign w:val="center"/>
          </w:tcPr>
          <w:p w14:paraId="38D6DA0F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</w:tr>
    </w:tbl>
    <w:p w14:paraId="13999FCC" w14:textId="77777777" w:rsidR="00DE1875" w:rsidRDefault="00DE1875" w:rsidP="00DE1875">
      <w:pPr>
        <w:spacing w:after="0"/>
      </w:pPr>
      <w:r>
        <w:t>*</w:t>
      </w:r>
      <w:r w:rsidRPr="0034553A">
        <w:t xml:space="preserve"> 1 patient </w:t>
      </w:r>
      <w:r>
        <w:t>had</w:t>
      </w:r>
      <w:r w:rsidRPr="0034553A">
        <w:t xml:space="preserve"> dose interruption of trametinib of 2 mg for grade 2 treatment related fatigue by investigator for 6 days and treatment was resumed on cycle 1 day 15 with dose reduction to 1.5mg when fatigue had improved to grade 1</w:t>
      </w:r>
    </w:p>
    <w:p w14:paraId="07941D6B" w14:textId="0A0892DD" w:rsidR="00DE1875" w:rsidRDefault="00DE1875" w:rsidP="00DE1875">
      <w:pPr>
        <w:spacing w:after="0"/>
      </w:pPr>
      <w:bookmarkStart w:id="0" w:name="_Hlk83284662"/>
      <w:r>
        <w:t>**</w:t>
      </w:r>
      <w:r w:rsidRPr="00403841">
        <w:t xml:space="preserve"> </w:t>
      </w:r>
      <w:r>
        <w:t xml:space="preserve">1 patient had elevation of total bilirubin at baseline (C1D1) of </w:t>
      </w:r>
      <w:proofErr w:type="spellStart"/>
      <w:r>
        <w:t>Sev</w:t>
      </w:r>
      <w:proofErr w:type="spellEnd"/>
      <w:r>
        <w:t xml:space="preserve"> group but rapidly resolved to normal bilirubin (Norm group criteria) throughout all the blood test timepoint in DLT period (Cycle 1) </w:t>
      </w:r>
    </w:p>
    <w:bookmarkEnd w:id="0"/>
    <w:p w14:paraId="58395036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29C70641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5347AEE6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000D8BBE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22B6B7DD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56B869D5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7BC101F8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36756F05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5230EA42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  <w:bookmarkStart w:id="1" w:name="_Ref73977702"/>
      <w:bookmarkStart w:id="2" w:name="_Toc73977981"/>
      <w:proofErr w:type="spellStart"/>
      <w:r>
        <w:rPr>
          <w:rFonts w:ascii="Times New Roman" w:eastAsia="Calibri" w:hAnsi="Times New Roman" w:cs="Times New Roman"/>
          <w:sz w:val="24"/>
          <w:szCs w:val="18"/>
          <w:lang w:val="en-US" w:eastAsia="en-US"/>
        </w:rPr>
        <w:lastRenderedPageBreak/>
        <w:t>Su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pplementary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S2.</w:t>
      </w:r>
      <w:r w:rsidRPr="002B547A">
        <w:rPr>
          <w:rFonts w:ascii="Times New Roman" w:hAnsi="Times New Roman" w:cs="Times New Roman"/>
          <w:sz w:val="24"/>
          <w:szCs w:val="24"/>
        </w:rPr>
        <w:t xml:space="preserve"> Trametinib Related Adverse Events </w:t>
      </w:r>
      <w:r>
        <w:rPr>
          <w:rFonts w:ascii="Times New Roman" w:hAnsi="Times New Roman" w:cs="Times New Roman"/>
          <w:sz w:val="24"/>
          <w:szCs w:val="24"/>
        </w:rPr>
        <w:t>by Organ Systems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60"/>
        <w:gridCol w:w="570"/>
        <w:gridCol w:w="566"/>
        <w:gridCol w:w="711"/>
        <w:gridCol w:w="569"/>
        <w:gridCol w:w="566"/>
        <w:gridCol w:w="577"/>
        <w:gridCol w:w="558"/>
        <w:gridCol w:w="577"/>
        <w:gridCol w:w="605"/>
        <w:gridCol w:w="611"/>
        <w:gridCol w:w="636"/>
        <w:gridCol w:w="605"/>
        <w:gridCol w:w="611"/>
        <w:gridCol w:w="636"/>
        <w:gridCol w:w="605"/>
        <w:gridCol w:w="611"/>
        <w:gridCol w:w="636"/>
        <w:gridCol w:w="583"/>
      </w:tblGrid>
      <w:tr w:rsidR="00DE1875" w:rsidRPr="00507E68" w14:paraId="02043A65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7BED8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2848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3146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Normal (N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orm</w:t>
            </w: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) </w:t>
            </w:r>
          </w:p>
          <w:p w14:paraId="3E62300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(2 mg)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A0F8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Mild  </w:t>
            </w:r>
          </w:p>
          <w:p w14:paraId="63929FB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(2 mg)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5D1A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Moderate (M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od</w:t>
            </w: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) DL1 </w:t>
            </w:r>
          </w:p>
          <w:p w14:paraId="7948A08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(1.5 mg)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137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Moderate (M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od</w:t>
            </w: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) DL+1 </w:t>
            </w:r>
          </w:p>
          <w:p w14:paraId="38ACB3B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(2 mg)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954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Severe (</w:t>
            </w:r>
            <w:proofErr w:type="spellStart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ev</w:t>
            </w:r>
            <w:proofErr w:type="spellEnd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) DL1 </w:t>
            </w:r>
          </w:p>
          <w:p w14:paraId="644A521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(1 mg)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BE8C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Severe (</w:t>
            </w:r>
            <w:proofErr w:type="spellStart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ev</w:t>
            </w:r>
            <w:proofErr w:type="spellEnd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) DL+1 </w:t>
            </w:r>
          </w:p>
          <w:p w14:paraId="1F5E5C3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(1.5 mg)</w:t>
            </w:r>
          </w:p>
        </w:tc>
      </w:tr>
      <w:tr w:rsidR="00DE1875" w:rsidRPr="00507E68" w14:paraId="76950FBA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0DFB2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Number of patients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2B9EA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EEFE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76DD3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128B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1EA3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D1947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65E6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</w:tr>
      <w:tr w:rsidR="00DE1875" w:rsidRPr="00507E68" w14:paraId="6037A49D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95758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Median Cycle of Treatment (Range)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89FB6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F3AB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2 (0, 18)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A5D5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1 (0, 6)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DDDB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3 (2, 3)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EF9B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1 (0, 2)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C701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1 (0, 5)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B45F5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0.5 (0, 1)</w:t>
            </w:r>
          </w:p>
        </w:tc>
      </w:tr>
      <w:tr w:rsidR="00DE1875" w:rsidRPr="00507E68" w14:paraId="51B978F0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3085B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Median day on treatment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656C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BC53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56 (5, 506)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78B1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55 (9, 189)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F1584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97.5 (46, 111)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91C21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36 (7, 62)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FA26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35 (7, 112)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16DAE" w14:textId="77777777" w:rsidR="00DE1875" w:rsidRPr="00507E68" w:rsidRDefault="00DE1875" w:rsidP="00FC379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b/>
                <w:bCs/>
                <w:sz w:val="14"/>
                <w:szCs w:val="14"/>
              </w:rPr>
              <w:t>31.5 (10, 53)</w:t>
            </w:r>
          </w:p>
        </w:tc>
      </w:tr>
      <w:tr w:rsidR="00DE1875" w:rsidRPr="00507E68" w14:paraId="589AD68C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16907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Adverse Event (Treatment related)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70337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32E5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All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C0B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 1-2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CDE6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≥3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D548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All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1D9C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1-2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D5DD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 ≥3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70A0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All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89C7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1-2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746B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 ≥3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FB6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All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4D5B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G1-2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DBE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 ≥3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7F1E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All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7D00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G1-2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B33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G≥3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E502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All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54A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G1-2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9FB5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 ≥3</w:t>
            </w:r>
          </w:p>
        </w:tc>
      </w:tr>
      <w:tr w:rsidR="00DE1875" w:rsidRPr="00507E68" w14:paraId="3ACFD0F7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59253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Blood and Lymphatic System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B4F5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  <w:tr w:rsidR="00DE1875" w:rsidRPr="00507E68" w14:paraId="722CA9FB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06015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2E2FE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Anemia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AEA3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7</w:t>
            </w:r>
          </w:p>
          <w:p w14:paraId="19470AF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(41%)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1279" w14:textId="77777777" w:rsidR="00DE1875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6 </w:t>
            </w:r>
          </w:p>
          <w:p w14:paraId="13DD920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(35%)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73FB4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1 </w:t>
            </w:r>
          </w:p>
          <w:p w14:paraId="0093A23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(6%)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49A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CBF6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4814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0C14FEB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C3E9F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657B1D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A52A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B126E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F720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350EF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AFC1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BF584D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757A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EA3FB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232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22A14B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 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9D3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169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C0C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5E53FFA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 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4047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7EABE55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 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9A5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72A98A3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 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939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6F10CA4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 (0%)</w:t>
            </w:r>
          </w:p>
        </w:tc>
      </w:tr>
      <w:tr w:rsidR="00DE1875" w:rsidRPr="00507E68" w14:paraId="76ED3CF7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1F832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734D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Thrombocytopenia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225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6 (35%)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96DD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5 (29%)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FC8B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1 </w:t>
            </w:r>
          </w:p>
          <w:p w14:paraId="20102AC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(6%)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E1D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1897CF2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2651C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781D8C2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C216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52A07AA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EC032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0C70225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5E43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3B47177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B217E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1020B7A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1D263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</w:t>
            </w:r>
          </w:p>
          <w:p w14:paraId="5C61089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(33%)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26C09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</w:t>
            </w:r>
          </w:p>
          <w:p w14:paraId="3947421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C49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1A87DD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FD4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0ABC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B4F29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63E8852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8F7E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(50%)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BDF8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(50%)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A3EC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5CEC791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</w:tr>
      <w:tr w:rsidR="00DE1875" w:rsidRPr="00507E68" w14:paraId="2BD32B84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8CDFD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18EF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Lymphopenia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613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4 (24%)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F47E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3 (18%)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AA6E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1 </w:t>
            </w:r>
          </w:p>
          <w:p w14:paraId="572805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(6%)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457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2D2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87E9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08B0E5F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F2E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E186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25DA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6E24F9A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82BC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056939D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CDB40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23D4008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5834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1529154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154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6AEB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51B87FB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93B6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955D5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399E9DA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3D2C3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34893F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8395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2F1AA25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</w:tr>
      <w:tr w:rsidR="00DE1875" w:rsidRPr="00507E68" w14:paraId="3AF0F5D3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9321B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416C4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Neutropenia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A38B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 (18%)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DAFD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 (18%)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EFD1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7A0CB4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32DC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520BE2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ADBB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B3BF29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769E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4064F8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4F57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A65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4DA5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A48F9A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E181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80E17F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97BC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CD509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A650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222E77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7320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4E6F00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2892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2A4130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BC5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664AD4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9302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B98FF1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F4B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3C7FD94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 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EE10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8CC269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6B9C372A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3755F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8F90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Leucopenia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36D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 (18%)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DCFE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 (18%)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DEB4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47A24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8C94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FBE293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10CD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395408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896D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3207BB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19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7F1C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096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27AB78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6A9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7ACDCF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674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D7761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FE9F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41F318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AB8A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A4DD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7DD1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30860A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456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52341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0129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625D0F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F8B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C2A3E1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63E912EC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D4569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Cardiovascular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CB06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  <w:tr w:rsidR="00DE1875" w:rsidRPr="00507E68" w14:paraId="15EEB3C5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D2F4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813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Hypertension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2071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64A4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B7E3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1 </w:t>
            </w:r>
          </w:p>
          <w:p w14:paraId="2867208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(6%)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8061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F079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2CDC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59DEFC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5DD3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3B0E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5D99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C9A647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D93A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5E7619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890F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FFF024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7BC8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4D96E2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47E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E68135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A8C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45E98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CABB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EF49D3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02B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DE436B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2FD7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E929DE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0F21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A15807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4D5F0E0D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3522E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Gastrointestinal disorder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4585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  <w:tr w:rsidR="00DE1875" w:rsidRPr="00507E68" w14:paraId="0BB2CD7B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F059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6831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Nausea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0DB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 (65%)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DCDB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 (65%)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A192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EC3D56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50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5B29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195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9A9EFF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7784D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777EE3D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7559E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009C765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42586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3BD0313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CDE6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2 (33%)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D58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2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722B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79D7C56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85F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A3F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91F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4B898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7968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(50%)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590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(50%)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9D9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03566B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1ED7838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AE57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2476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Diarrhea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891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 (53%)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87F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 (41%)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D8A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B9E0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9A6C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07B1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49EBD7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E96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4DB3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0C7F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16BB487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7DF6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2 (33%)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1B0D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2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9DDF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5157457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0845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(22%)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24B4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(22%)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FA2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CF5A5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9DA4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DC8B13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42EE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DC8212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D52F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154167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3F2C18F7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9B24B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C433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Vomiting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8855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(24%)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FF8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71E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BCD19B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0A0E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(57%)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922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(57%)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8D9C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047686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D31C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3EB6A8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2583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CE019E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E11B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A0AD48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71AB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6191E7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1E33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F6598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0C97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88CDD7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95A9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5922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48B4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350FE7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EC78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478D3D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C47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07599A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5200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5FB27A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0DA0B30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68EAE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F9B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Dry mouth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B89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164D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7A2E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4D0E39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8CF4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3ECE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4DA5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0C86BA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6ED3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757210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A354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AF9A4D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524E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D6254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13A2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E010C2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C760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8800E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726D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4B9AA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B144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CA5C76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8B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0FA1FA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D2BA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6A155C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57E0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EA0A33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34D0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CFC92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F0D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78B58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41D96615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BFAFE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B1D9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Mucositis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BA7E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5FD9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FA46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C324B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399D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0E1A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DD81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3830C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3A87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DD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5F64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B5091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A52E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(17%)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C484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EBC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DF1A8F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B44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EBA393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2ED2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1C0746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DF2E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69C41D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6983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35B52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33E0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2EEC8E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D977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1C8726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B39D29E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E01DB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General disorder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9FA50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49B0A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CAF85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62F7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80A9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B8107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1A8B5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20651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90DBE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11454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5C057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0C40B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D85FA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B990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0A459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DDEC5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80FBE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0E69B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BA871" w14:textId="77777777" w:rsidR="00DE1875" w:rsidRPr="00507E68" w:rsidRDefault="00DE1875" w:rsidP="00FC379F">
            <w:pPr>
              <w:rPr>
                <w:sz w:val="14"/>
                <w:szCs w:val="14"/>
              </w:rPr>
            </w:pPr>
          </w:p>
        </w:tc>
      </w:tr>
      <w:tr w:rsidR="00DE1875" w:rsidRPr="00507E68" w14:paraId="1FABCF3B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1A987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761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Fatigue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7A4B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 (59%)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EE5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 (47%)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CAE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2F2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D355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4292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EEC12F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F637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AB8BE9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4EE1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CDEC18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EB2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2F3F6D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2188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(33%)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4059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7C9E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46863A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2D5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480C56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2C29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F90B69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A53A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02793A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8DFD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(50%)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FF0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A1CA60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AA88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</w:t>
            </w:r>
          </w:p>
          <w:p w14:paraId="71C14CC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(50%)</w:t>
            </w:r>
          </w:p>
        </w:tc>
      </w:tr>
      <w:tr w:rsidR="00DE1875" w:rsidRPr="00507E68" w14:paraId="63AD36BB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9C900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22D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Decreased appetite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BE5A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5572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 (29%)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D9B8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C48FD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FFAD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BD7A13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085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E30E79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0896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2142B8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7B91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0E433F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9A92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0CBEA2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2CD0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CE0973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583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(33%)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2F35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F0FB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13B1D5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1C3F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7278C0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3FCA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C7156A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654C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ABE555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CD3A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CB0A0D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6EC2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D6FBAF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555A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494988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CF53D95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9827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913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Peripheral </w:t>
            </w:r>
            <w:proofErr w:type="spellStart"/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edema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F14D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(24%)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FA7E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9A91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5C9364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3B73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14D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093B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6E045C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28D4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2EBC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B3AD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7CD08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97C8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(17%)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B269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3C5F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35DBF0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B7B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51601C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E495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E5F7A1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BEA7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2BEF23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DC0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1BB510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F183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5F1883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39EB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BEBB7C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0927250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84849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D31C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Pyrexia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DB0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346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12B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BDC8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E386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8564A3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08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5883EB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BE65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D20D0A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26FB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5B4846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8B48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54310C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6E1A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C6AC0B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330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305362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B999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43FEF6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0091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EF902C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B92A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6724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901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A5FAE1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5434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613B03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D417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0A5779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A351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202E37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DCDC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F2B70C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04A7026B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82FBE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lastRenderedPageBreak/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6D34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Weight loss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6544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C39A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94C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AA1D56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5EB2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59BEDE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24E2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7CC71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FB66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D351B2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EA40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EC818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B81E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0626AA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37C2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CDF20C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8C85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</w:t>
            </w:r>
          </w:p>
          <w:p w14:paraId="312A498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(17%)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2D7E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</w:t>
            </w:r>
          </w:p>
          <w:p w14:paraId="0B31339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5526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086B00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CC7F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D2F9E6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CA94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A5652F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ACA7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4F527A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A4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945C49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3B95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239E1F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EDD1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69531D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95C04EC" w14:textId="77777777" w:rsidTr="00FC379F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48483" w14:textId="77777777" w:rsidR="00DE1875" w:rsidRPr="00507E68" w:rsidRDefault="00DE1875" w:rsidP="00FC379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4D90" w14:textId="77777777" w:rsidR="00DE1875" w:rsidRPr="00507E68" w:rsidRDefault="00DE1875" w:rsidP="00FC379F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Chills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85B1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1 </w:t>
            </w:r>
          </w:p>
          <w:p w14:paraId="67BB49A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(6%)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5BD1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1 </w:t>
            </w:r>
          </w:p>
          <w:p w14:paraId="523446B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(6%)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C42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236042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AF22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F39EBF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F069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D4C220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30EB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2191D1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9AB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1DBE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F32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5314C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1B3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95FF9B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CF13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FBEF39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2F60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F5BA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0A8A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723F6D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1C24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9477A7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1B1B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B7BCA2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7A3C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B238A3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A80A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FA564C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DF6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3867C5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4FF85E3E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58EDF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Investigations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7099A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  </w:t>
            </w:r>
          </w:p>
        </w:tc>
      </w:tr>
      <w:tr w:rsidR="00DE1875" w:rsidRPr="00507E68" w14:paraId="7C837FA0" w14:textId="77777777" w:rsidTr="00FC379F">
        <w:trPr>
          <w:trHeight w:val="5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44FC3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A26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Aspartate aminotransferase increased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A610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10 (59%)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8E60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9 (53%)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D023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  <w:p w14:paraId="5629EA5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(6%)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0E67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9C8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A25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  <w:p w14:paraId="0C2E5E5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1A9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  <w:p w14:paraId="1539486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75F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  <w:p w14:paraId="2DABB46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4DE6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  <w:p w14:paraId="1A4539D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A7F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3B2E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331A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</w:p>
          <w:p w14:paraId="4B4445B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F90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4DF6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A46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7A4815C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814F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2BC8041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1DC7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6682BF1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94EE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  <w:p w14:paraId="5185290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6DC54397" w14:textId="77777777" w:rsidTr="00FC379F">
        <w:trPr>
          <w:trHeight w:val="5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42305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6770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Blood alkaline phosphatase increased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CE76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7 (41%)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5A78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7 (41%)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94C9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8C5FE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7DDF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BE7C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D32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9EA638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9076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F9D368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1E9E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4B63AE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F560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793889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C822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49852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2BF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3F4689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413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83FB4B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4144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8C205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2B82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51F694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618E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7C6A03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D950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04B2F8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BC6F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4BC683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6EB9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DB898A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286EAF12" w14:textId="77777777" w:rsidTr="00FC379F">
        <w:trPr>
          <w:trHeight w:val="5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EDA89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9C27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Alanine aminotransferase increased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4A9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3C5E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5 (29%)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BB4C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C27D1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6F7C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BC41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E6E7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(14%)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F8E7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C2A160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C8C8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1C7B31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D6A7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A5A488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D08B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(33%)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4D5C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(33%)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A506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39BEEE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8686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39635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52ED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101D5D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E26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B7CBF3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0D42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F9701C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D136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4F237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0C1D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FE9D3C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67A79ED3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F1257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46A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Hypoalbuminemia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1D40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11D3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A91A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1 </w:t>
            </w:r>
          </w:p>
          <w:p w14:paraId="7743C42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(6%)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2DC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EE709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1C1A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04EB5A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91E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39E4C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B4CB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9C8F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F7B1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B5195D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D4DD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1CF0B1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8513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1813E4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E9DE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B3B9F2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5498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7F36A7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8DCB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648C8E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1019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BB6E15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068A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EEBAD8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CEC6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7B54B5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E78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3762CF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3FE733EA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4ED1B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03B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Hypomagnesemia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EEC7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31B9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5 (29%)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B28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0 </w:t>
            </w:r>
          </w:p>
          <w:p w14:paraId="1D4B6E6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780A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3 (43%)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007B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3 (43%)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60C5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37368D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A3C7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3EE08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8442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79C67E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2F4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D60DA1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C239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C0D188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4309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D78060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8B0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461D25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EB63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031EDD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E4D5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669BC3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6CAB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F7AEF6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EE2A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989651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860C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1A56CF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1FB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E369B0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1AE3B18F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F6AF5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F68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Hyponatremia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B175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A2A2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3 (18%)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355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977B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2B19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3252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FF601F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7548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27E3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095D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4202F3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13FD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DBA8DD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06B8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48A766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D557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1F570D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7503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DDCF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FC5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713E64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506E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195D99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8D59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B5C42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24FD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42E2F9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3746E8E9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F734C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Metabolism and Nutrition Disorder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6F4DD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  <w:p w14:paraId="333C9C5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DE1875" w:rsidRPr="00507E68" w14:paraId="151F37A4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1FFAC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8D5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Hypoglycemia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32AE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612C75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687E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348C2A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0FD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BA945E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C965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A50BAD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C69C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B13B0F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7F4B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DF461F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AEE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8C6A4A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7330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45D21E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B7C8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C1440E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B727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2339CD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5D5B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DB51BC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6BD7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FD0405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16B4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E420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9388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3FA6F4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BE7B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74500B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85C6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63D5D3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DEE9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C27922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29490961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65515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Musculoskeletal disorder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03E9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 </w:t>
            </w:r>
          </w:p>
          <w:p w14:paraId="0071D01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 </w:t>
            </w:r>
          </w:p>
        </w:tc>
      </w:tr>
      <w:tr w:rsidR="00DE1875" w:rsidRPr="00507E68" w14:paraId="08C7A0BD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98DDA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D1B5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Muscle weakness upper limb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0BF0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D6B2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56BF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9CB118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B85F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DFF111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0BB8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767587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A14C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7BB71E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93F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69437C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D969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2F777B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7DB4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A64170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5028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2CF90D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596F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ACBD3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F2F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64A399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0F8E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CA8961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062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55F4A7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8008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4F94AA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2D6E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EBC9D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A259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B71542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5E90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EBAA13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585FD7DF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E198C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Neurological disorder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6F41D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DE1875" w:rsidRPr="00507E68" w14:paraId="3EB35288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96FF5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040F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Dysgeusia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DAF9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6A65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78FE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C284AE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EBD1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639CDA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BB3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881F94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42F5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BDA138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CB90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(33%)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2185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(33</w:t>
            </w:r>
          </w:p>
          <w:p w14:paraId="0F2D2F5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  <w:p w14:paraId="537E76D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276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F2C2EF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3175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(20%)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4563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(20%)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CCA4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D8821F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CC2D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1BD3C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389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C1BC50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79C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CE6B82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2DF5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CAE270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B1F8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94CFC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535A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8173E0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3748D390" w14:textId="77777777" w:rsidTr="00FC379F">
        <w:trPr>
          <w:trHeight w:val="41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209E5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Skin disorder</w:t>
            </w:r>
          </w:p>
        </w:tc>
        <w:tc>
          <w:tcPr>
            <w:tcW w:w="44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24B8B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 </w:t>
            </w:r>
          </w:p>
        </w:tc>
      </w:tr>
      <w:tr w:rsidR="00DE1875" w:rsidRPr="00507E68" w14:paraId="624F8E87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905E6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551F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Acneiform rash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56C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9 (53%)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9272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9 (53%)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FE8D9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2A9492F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6E82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6 (86%)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59CA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6 (86%)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77A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2F02532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B5B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 (67%)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4105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 (67%)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296F0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6725792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089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3 (50%)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1AC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3 (50%)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8BA96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755AC1F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0FB4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489B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410CA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4EE4F10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F2C4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1 (50%)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2630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62ACF49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BC1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1 (50%)</w:t>
            </w:r>
          </w:p>
        </w:tc>
      </w:tr>
      <w:tr w:rsidR="00DE1875" w:rsidRPr="00507E68" w14:paraId="055EA9E6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BB885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9A3D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Maculopapular rash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DA6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5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26E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3 (18%)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4DC5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 (12%)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B13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 (29%)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8F46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2 (29%)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DFF4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313D4BC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0538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3 (100%)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2EA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3 (100%)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7BC1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58AC991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9080D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6E36C39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B8FFD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5ECFC60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1B0A" w14:textId="77777777" w:rsidR="00DE1875" w:rsidRPr="00507E68" w:rsidRDefault="00DE1875" w:rsidP="00FC37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 xml:space="preserve">0 </w:t>
            </w:r>
          </w:p>
          <w:p w14:paraId="1A332B5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B6B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60B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cstheme="minorHAnsi"/>
                <w:sz w:val="14"/>
                <w:szCs w:val="14"/>
              </w:rPr>
              <w:t>1 (11%)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A75A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8E1008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D377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3A5D1E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3816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9386CD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449D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380F5B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0802BC50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962D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09FA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Cracked skin / fissure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9763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7FC6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A19A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0665A7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9F99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0DA39E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C376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7160DC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BB32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5B3F46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A6C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E10E85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E549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FEF9F1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6E95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223242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E826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E410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(17%)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265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B8C12B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7ED7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61EFF5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5D3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1EF0AB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A082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696E66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FD6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B32EED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0D40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6D3771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CD06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A23BC7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4B82ADBD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F05AD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C07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Paronychia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2DE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0330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4 (24%)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2A46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A68FB5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F649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A41E35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8A8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1BF060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8482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DD6320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91ED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92FF24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F143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36679B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71F4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25754B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A92D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CBFA36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BD4A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84A9DC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4C11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2BFDC8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D079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898AA5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4CF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FB236E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1810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5F0CC0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00F9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5F2248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F92B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45CBAF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C936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A30C1A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62E11DD9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005B9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70C8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Papular</w:t>
            </w:r>
            <w:proofErr w:type="spellEnd"/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rash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B9C1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3 (18%)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27A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3 (18%)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B1C1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6408F5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6F9C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D6941F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3EE6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9ACD6A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4AA1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BED851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7128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2DA83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B3F8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2E0764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58A8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33F707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AA43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00B2FD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7452B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B6531F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B15D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9C2BB8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096EF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1CB42D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F064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31583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2DB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812834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2A8B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D5016C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5B784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8DE0ED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CC17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AC7179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6196D446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02CB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1457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Dry skin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2B5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78B5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A31B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DF15B7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DFFD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(14%)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C329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1 (14%)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CDA9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22B8F2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EB397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10DC702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7B99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028013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84B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CC6D28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8009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68AFEB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98660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E84D296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FA9C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A71C0C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CE7E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2958AA49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97C8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A7BF26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662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372BE9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766F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B0550EC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E1CA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09D8E2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442F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C68F548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  <w:tr w:rsidR="00DE1875" w:rsidRPr="00507E68" w14:paraId="0E87779C" w14:textId="77777777" w:rsidTr="00FC379F">
        <w:trPr>
          <w:trHeight w:val="29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A6ADA" w14:textId="77777777" w:rsidR="00DE1875" w:rsidRPr="00507E68" w:rsidRDefault="00DE1875" w:rsidP="00FC379F">
            <w:pPr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1CD7" w14:textId="77777777" w:rsidR="00DE1875" w:rsidRPr="00507E68" w:rsidRDefault="00DE1875" w:rsidP="00FC379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Pruritus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9307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4D5D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eastAsia="Times New Roman" w:cstheme="minorHAnsi"/>
                <w:color w:val="000000"/>
                <w:sz w:val="14"/>
                <w:szCs w:val="14"/>
              </w:rPr>
              <w:t>2 (12%)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D659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D9E1CD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4D0D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A8CFAF5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478F2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0E20C3FE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BA64A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BF7358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C80C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175809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7446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BC3786B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F9CA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7598F34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7A43E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8C4BD0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3D171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57D69C1D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FE9FD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4C306680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9234C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602C22E7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3E158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F28B63F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4817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4470EA3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978B3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768640A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29485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3B9897B2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5849" w14:textId="77777777" w:rsidR="00DE1875" w:rsidRPr="00507E68" w:rsidRDefault="00DE1875" w:rsidP="00FC379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0 </w:t>
            </w:r>
          </w:p>
          <w:p w14:paraId="7047D371" w14:textId="77777777" w:rsidR="00DE1875" w:rsidRPr="00507E68" w:rsidRDefault="00DE1875" w:rsidP="00FC379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507E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(0%)</w:t>
            </w:r>
          </w:p>
        </w:tc>
      </w:tr>
    </w:tbl>
    <w:p w14:paraId="7E046253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  <w:bookmarkStart w:id="3" w:name="_Hlk83311039"/>
      <w:bookmarkStart w:id="4" w:name="_Hlk83310459"/>
      <w:r>
        <w:rPr>
          <w:rFonts w:ascii="Times New Roman" w:hAnsi="Times New Roman" w:cs="Times New Roman"/>
          <w:sz w:val="24"/>
          <w:szCs w:val="24"/>
        </w:rPr>
        <w:lastRenderedPageBreak/>
        <w:t>Supplementary Table S3.</w:t>
      </w:r>
      <w:r w:rsidRPr="005A2023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A2023">
        <w:rPr>
          <w:rFonts w:ascii="Times New Roman" w:hAnsi="Times New Roman" w:cs="Times New Roman"/>
          <w:sz w:val="24"/>
          <w:szCs w:val="24"/>
        </w:rPr>
        <w:t xml:space="preserve">Efficacy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 of Trametinib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28"/>
        <w:gridCol w:w="1911"/>
        <w:gridCol w:w="1914"/>
        <w:gridCol w:w="1911"/>
        <w:gridCol w:w="1914"/>
        <w:gridCol w:w="1911"/>
        <w:gridCol w:w="1914"/>
        <w:gridCol w:w="845"/>
      </w:tblGrid>
      <w:tr w:rsidR="00DE1875" w:rsidRPr="0032400A" w14:paraId="4E425CAD" w14:textId="77777777" w:rsidTr="00FC379F">
        <w:trPr>
          <w:trHeight w:val="290"/>
        </w:trPr>
        <w:tc>
          <w:tcPr>
            <w:tcW w:w="584" w:type="pct"/>
            <w:noWrap/>
            <w:hideMark/>
          </w:tcPr>
          <w:p w14:paraId="093D155F" w14:textId="77777777" w:rsidR="00DE1875" w:rsidRPr="0032400A" w:rsidRDefault="00DE1875" w:rsidP="00FC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noWrap/>
            <w:vAlign w:val="center"/>
            <w:hideMark/>
          </w:tcPr>
          <w:p w14:paraId="0769A3E0" w14:textId="77777777" w:rsidR="00DE1875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7AC06AFD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686" w:type="pct"/>
            <w:noWrap/>
            <w:vAlign w:val="center"/>
            <w:hideMark/>
          </w:tcPr>
          <w:p w14:paraId="42D568F7" w14:textId="77777777" w:rsidR="00DE1875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Mild DL1 </w:t>
            </w:r>
          </w:p>
          <w:p w14:paraId="1028ABB8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685" w:type="pct"/>
            <w:noWrap/>
            <w:vAlign w:val="center"/>
            <w:hideMark/>
          </w:tcPr>
          <w:p w14:paraId="0350591C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DL1 (1.5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686" w:type="pct"/>
            <w:noWrap/>
            <w:vAlign w:val="center"/>
            <w:hideMark/>
          </w:tcPr>
          <w:p w14:paraId="3C77418B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DL+1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685" w:type="pct"/>
            <w:noWrap/>
            <w:vAlign w:val="center"/>
            <w:hideMark/>
          </w:tcPr>
          <w:p w14:paraId="461A3815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</w:t>
            </w:r>
            <w:proofErr w:type="spellEnd"/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DL1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686" w:type="pct"/>
            <w:noWrap/>
            <w:vAlign w:val="center"/>
            <w:hideMark/>
          </w:tcPr>
          <w:p w14:paraId="76E64C27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</w:t>
            </w:r>
            <w:proofErr w:type="spellEnd"/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DL+1 (1.5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303" w:type="pct"/>
            <w:noWrap/>
            <w:vAlign w:val="center"/>
            <w:hideMark/>
          </w:tcPr>
          <w:p w14:paraId="7C045BCA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E1875" w:rsidRPr="0032400A" w14:paraId="7C102B42" w14:textId="77777777" w:rsidTr="00FC379F">
        <w:trPr>
          <w:trHeight w:val="290"/>
        </w:trPr>
        <w:tc>
          <w:tcPr>
            <w:tcW w:w="584" w:type="pct"/>
            <w:noWrap/>
            <w:hideMark/>
          </w:tcPr>
          <w:p w14:paraId="62EA4245" w14:textId="77777777" w:rsidR="00DE1875" w:rsidRPr="00AE39F3" w:rsidRDefault="00DE1875" w:rsidP="00FC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F3"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685" w:type="pct"/>
            <w:noWrap/>
            <w:vAlign w:val="center"/>
            <w:hideMark/>
          </w:tcPr>
          <w:p w14:paraId="4FFD40B5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pct"/>
            <w:noWrap/>
            <w:vAlign w:val="center"/>
            <w:hideMark/>
          </w:tcPr>
          <w:p w14:paraId="41A85252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noWrap/>
            <w:vAlign w:val="center"/>
            <w:hideMark/>
          </w:tcPr>
          <w:p w14:paraId="716AE336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pct"/>
            <w:noWrap/>
            <w:vAlign w:val="center"/>
            <w:hideMark/>
          </w:tcPr>
          <w:p w14:paraId="2C9B7D23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14:paraId="641C7E8E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pct"/>
            <w:noWrap/>
            <w:vAlign w:val="center"/>
            <w:hideMark/>
          </w:tcPr>
          <w:p w14:paraId="342FFB6F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noWrap/>
            <w:hideMark/>
          </w:tcPr>
          <w:p w14:paraId="2FCD8FBE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E1875" w:rsidRPr="0032400A" w14:paraId="180DC9BE" w14:textId="77777777" w:rsidTr="00FC379F">
        <w:trPr>
          <w:trHeight w:val="290"/>
        </w:trPr>
        <w:tc>
          <w:tcPr>
            <w:tcW w:w="584" w:type="pct"/>
            <w:noWrap/>
            <w:vAlign w:val="center"/>
            <w:hideMark/>
          </w:tcPr>
          <w:p w14:paraId="13588EDF" w14:textId="77777777" w:rsidR="00DE1875" w:rsidRPr="00CB6579" w:rsidRDefault="00DE1875" w:rsidP="00FC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79">
              <w:rPr>
                <w:rFonts w:ascii="Times New Roman" w:hAnsi="Times New Roman" w:cs="Times New Roman"/>
                <w:sz w:val="24"/>
                <w:szCs w:val="24"/>
              </w:rPr>
              <w:t>Best Response</w:t>
            </w:r>
          </w:p>
        </w:tc>
        <w:tc>
          <w:tcPr>
            <w:tcW w:w="685" w:type="pct"/>
            <w:noWrap/>
            <w:vAlign w:val="center"/>
            <w:hideMark/>
          </w:tcPr>
          <w:p w14:paraId="476DB948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86" w:type="pct"/>
            <w:noWrap/>
            <w:vAlign w:val="center"/>
            <w:hideMark/>
          </w:tcPr>
          <w:p w14:paraId="5769E8CE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85" w:type="pct"/>
            <w:noWrap/>
            <w:vAlign w:val="center"/>
            <w:hideMark/>
          </w:tcPr>
          <w:p w14:paraId="15150506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86" w:type="pct"/>
            <w:noWrap/>
            <w:vAlign w:val="center"/>
            <w:hideMark/>
          </w:tcPr>
          <w:p w14:paraId="626E7704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85" w:type="pct"/>
            <w:noWrap/>
            <w:vAlign w:val="center"/>
            <w:hideMark/>
          </w:tcPr>
          <w:p w14:paraId="42D8CB5D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86" w:type="pct"/>
            <w:noWrap/>
            <w:vAlign w:val="center"/>
            <w:hideMark/>
          </w:tcPr>
          <w:p w14:paraId="11FE92BE" w14:textId="77777777" w:rsidR="00DE1875" w:rsidRPr="009B6EB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A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303" w:type="pct"/>
            <w:noWrap/>
            <w:hideMark/>
          </w:tcPr>
          <w:p w14:paraId="6E504256" w14:textId="77777777" w:rsidR="00DE1875" w:rsidRPr="009B6EBA" w:rsidRDefault="00DE1875" w:rsidP="00FC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75" w:rsidRPr="0032400A" w14:paraId="4CF6144E" w14:textId="77777777" w:rsidTr="00FC379F">
        <w:trPr>
          <w:trHeight w:val="290"/>
        </w:trPr>
        <w:tc>
          <w:tcPr>
            <w:tcW w:w="584" w:type="pct"/>
            <w:noWrap/>
            <w:vAlign w:val="center"/>
            <w:hideMark/>
          </w:tcPr>
          <w:p w14:paraId="64013219" w14:textId="77777777" w:rsidR="00DE1875" w:rsidRPr="0032400A" w:rsidRDefault="00DE1875" w:rsidP="00FC3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 Response</w:t>
            </w:r>
          </w:p>
        </w:tc>
        <w:tc>
          <w:tcPr>
            <w:tcW w:w="685" w:type="pct"/>
            <w:noWrap/>
            <w:vAlign w:val="center"/>
            <w:hideMark/>
          </w:tcPr>
          <w:p w14:paraId="1CEBCC24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1D033980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685" w:type="pct"/>
            <w:noWrap/>
            <w:vAlign w:val="center"/>
            <w:hideMark/>
          </w:tcPr>
          <w:p w14:paraId="1FC1B4B9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686" w:type="pct"/>
            <w:noWrap/>
            <w:vAlign w:val="center"/>
            <w:hideMark/>
          </w:tcPr>
          <w:p w14:paraId="653EF326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685" w:type="pct"/>
            <w:noWrap/>
            <w:vAlign w:val="center"/>
            <w:hideMark/>
          </w:tcPr>
          <w:p w14:paraId="3B02DFC2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686" w:type="pct"/>
            <w:noWrap/>
            <w:vAlign w:val="center"/>
            <w:hideMark/>
          </w:tcPr>
          <w:p w14:paraId="784EDEFA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303" w:type="pct"/>
            <w:noWrap/>
            <w:vAlign w:val="center"/>
            <w:hideMark/>
          </w:tcPr>
          <w:p w14:paraId="04CD244B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875" w:rsidRPr="0032400A" w14:paraId="67559DE4" w14:textId="77777777" w:rsidTr="00FC379F">
        <w:trPr>
          <w:trHeight w:val="290"/>
        </w:trPr>
        <w:tc>
          <w:tcPr>
            <w:tcW w:w="584" w:type="pct"/>
            <w:noWrap/>
            <w:vAlign w:val="center"/>
            <w:hideMark/>
          </w:tcPr>
          <w:p w14:paraId="1775E3FB" w14:textId="77777777" w:rsidR="00DE1875" w:rsidRPr="0032400A" w:rsidRDefault="00DE1875" w:rsidP="00FC3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Stable Disease</w:t>
            </w:r>
          </w:p>
        </w:tc>
        <w:tc>
          <w:tcPr>
            <w:tcW w:w="685" w:type="pct"/>
            <w:noWrap/>
            <w:vAlign w:val="center"/>
            <w:hideMark/>
          </w:tcPr>
          <w:p w14:paraId="20B7E063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7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49280563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2 (33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pct"/>
            <w:noWrap/>
            <w:vAlign w:val="center"/>
            <w:hideMark/>
          </w:tcPr>
          <w:p w14:paraId="1F63957D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3 (75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4A6A8CD0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2 (66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pct"/>
            <w:noWrap/>
            <w:vAlign w:val="center"/>
            <w:hideMark/>
          </w:tcPr>
          <w:p w14:paraId="74A8EE70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3 (75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0FD02797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303" w:type="pct"/>
            <w:noWrap/>
            <w:vAlign w:val="center"/>
            <w:hideMark/>
          </w:tcPr>
          <w:p w14:paraId="3F8B8AB8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1875" w:rsidRPr="0032400A" w14:paraId="43134F8A" w14:textId="77777777" w:rsidTr="00FC379F">
        <w:trPr>
          <w:trHeight w:val="290"/>
        </w:trPr>
        <w:tc>
          <w:tcPr>
            <w:tcW w:w="584" w:type="pct"/>
            <w:noWrap/>
            <w:vAlign w:val="center"/>
            <w:hideMark/>
          </w:tcPr>
          <w:p w14:paraId="5A9726FE" w14:textId="77777777" w:rsidR="00DE1875" w:rsidRPr="0032400A" w:rsidRDefault="00DE1875" w:rsidP="00FC3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Progressive Disease</w:t>
            </w:r>
          </w:p>
        </w:tc>
        <w:tc>
          <w:tcPr>
            <w:tcW w:w="685" w:type="pct"/>
            <w:noWrap/>
            <w:vAlign w:val="center"/>
            <w:hideMark/>
          </w:tcPr>
          <w:p w14:paraId="73BFBF14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4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1E12562F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4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pct"/>
            <w:noWrap/>
            <w:vAlign w:val="center"/>
            <w:hideMark/>
          </w:tcPr>
          <w:p w14:paraId="4080FC8D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2F657EE5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pct"/>
            <w:noWrap/>
            <w:vAlign w:val="center"/>
            <w:hideMark/>
          </w:tcPr>
          <w:p w14:paraId="63C1F094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noWrap/>
            <w:vAlign w:val="center"/>
            <w:hideMark/>
          </w:tcPr>
          <w:p w14:paraId="2237525B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3" w:type="pct"/>
            <w:noWrap/>
            <w:vAlign w:val="center"/>
            <w:hideMark/>
          </w:tcPr>
          <w:p w14:paraId="3F5F38D0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1875" w:rsidRPr="0032400A" w14:paraId="75710E1C" w14:textId="77777777" w:rsidTr="00FC379F">
        <w:trPr>
          <w:trHeight w:val="290"/>
        </w:trPr>
        <w:tc>
          <w:tcPr>
            <w:tcW w:w="584" w:type="pct"/>
            <w:noWrap/>
            <w:vAlign w:val="center"/>
            <w:hideMark/>
          </w:tcPr>
          <w:p w14:paraId="56DF4204" w14:textId="77777777" w:rsidR="00DE1875" w:rsidRPr="0032400A" w:rsidRDefault="00DE1875" w:rsidP="00FC3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Evaluable</w:t>
            </w:r>
          </w:p>
        </w:tc>
        <w:tc>
          <w:tcPr>
            <w:tcW w:w="685" w:type="pct"/>
            <w:noWrap/>
            <w:vAlign w:val="center"/>
            <w:hideMark/>
          </w:tcPr>
          <w:p w14:paraId="4DF467F9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13 (76%)</w:t>
            </w:r>
          </w:p>
        </w:tc>
        <w:tc>
          <w:tcPr>
            <w:tcW w:w="686" w:type="pct"/>
            <w:noWrap/>
            <w:vAlign w:val="center"/>
            <w:hideMark/>
          </w:tcPr>
          <w:p w14:paraId="3445911A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6 (86%)</w:t>
            </w:r>
          </w:p>
        </w:tc>
        <w:tc>
          <w:tcPr>
            <w:tcW w:w="685" w:type="pct"/>
            <w:noWrap/>
            <w:vAlign w:val="center"/>
            <w:hideMark/>
          </w:tcPr>
          <w:p w14:paraId="6BDC5D85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686" w:type="pct"/>
            <w:noWrap/>
            <w:vAlign w:val="center"/>
            <w:hideMark/>
          </w:tcPr>
          <w:p w14:paraId="7FFCB7AA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3 (60%)</w:t>
            </w:r>
          </w:p>
        </w:tc>
        <w:tc>
          <w:tcPr>
            <w:tcW w:w="685" w:type="pct"/>
            <w:noWrap/>
            <w:vAlign w:val="center"/>
            <w:hideMark/>
          </w:tcPr>
          <w:p w14:paraId="1D1EFACF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4 (44%)</w:t>
            </w:r>
          </w:p>
        </w:tc>
        <w:tc>
          <w:tcPr>
            <w:tcW w:w="686" w:type="pct"/>
            <w:noWrap/>
            <w:vAlign w:val="center"/>
            <w:hideMark/>
          </w:tcPr>
          <w:p w14:paraId="48888907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303" w:type="pct"/>
            <w:noWrap/>
            <w:vAlign w:val="center"/>
            <w:hideMark/>
          </w:tcPr>
          <w:p w14:paraId="38FDA35E" w14:textId="77777777" w:rsidR="00DE1875" w:rsidRPr="0032400A" w:rsidRDefault="00DE1875" w:rsidP="00FC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0D373486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19E69EF8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3F6D62F7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627A7386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0EAEB4B3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5F56E269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2338B681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51BE3CF7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0A35C239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B68CD2A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0E93908A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E1CAE29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S4. PK evaluable patients and reasons of PK non-evaluability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01"/>
        <w:gridCol w:w="1264"/>
        <w:gridCol w:w="1265"/>
        <w:gridCol w:w="1263"/>
        <w:gridCol w:w="1264"/>
        <w:gridCol w:w="1263"/>
        <w:gridCol w:w="1264"/>
        <w:gridCol w:w="1264"/>
      </w:tblGrid>
      <w:tr w:rsidR="00DE1875" w:rsidRPr="006303FB" w14:paraId="2D9FDB00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3D52454B" w14:textId="77777777" w:rsidR="00DE1875" w:rsidRPr="006303FB" w:rsidRDefault="00DE1875" w:rsidP="00FC379F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vAlign w:val="center"/>
          </w:tcPr>
          <w:p w14:paraId="18392564" w14:textId="77777777" w:rsidR="00DE1875" w:rsidRPr="006303FB" w:rsidRDefault="00DE1875" w:rsidP="00FC379F">
            <w:pPr>
              <w:jc w:val="center"/>
            </w:pPr>
            <w:r>
              <w:t>Norm</w:t>
            </w:r>
          </w:p>
        </w:tc>
        <w:tc>
          <w:tcPr>
            <w:tcW w:w="969" w:type="dxa"/>
            <w:noWrap/>
            <w:vAlign w:val="center"/>
          </w:tcPr>
          <w:p w14:paraId="635C2A51" w14:textId="77777777" w:rsidR="00DE1875" w:rsidRPr="006303FB" w:rsidRDefault="00DE1875" w:rsidP="00FC379F">
            <w:pPr>
              <w:jc w:val="center"/>
            </w:pPr>
            <w:r>
              <w:t>Mild</w:t>
            </w:r>
          </w:p>
        </w:tc>
        <w:tc>
          <w:tcPr>
            <w:tcW w:w="967" w:type="dxa"/>
            <w:noWrap/>
            <w:vAlign w:val="center"/>
          </w:tcPr>
          <w:p w14:paraId="61D06015" w14:textId="77777777" w:rsidR="00DE1875" w:rsidRDefault="00DE1875" w:rsidP="00FC379F">
            <w:pPr>
              <w:jc w:val="center"/>
            </w:pPr>
            <w:r>
              <w:t>Mod</w:t>
            </w:r>
          </w:p>
          <w:p w14:paraId="1202ECBC" w14:textId="77777777" w:rsidR="00DE1875" w:rsidRPr="006303FB" w:rsidRDefault="00DE1875" w:rsidP="00FC379F">
            <w:pPr>
              <w:jc w:val="center"/>
            </w:pPr>
            <w:r>
              <w:t>(1.5mg)</w:t>
            </w:r>
          </w:p>
        </w:tc>
        <w:tc>
          <w:tcPr>
            <w:tcW w:w="968" w:type="dxa"/>
            <w:noWrap/>
            <w:vAlign w:val="center"/>
          </w:tcPr>
          <w:p w14:paraId="15409961" w14:textId="77777777" w:rsidR="00DE1875" w:rsidRDefault="00DE1875" w:rsidP="00FC379F">
            <w:pPr>
              <w:jc w:val="center"/>
            </w:pPr>
            <w:r>
              <w:t>Mod</w:t>
            </w:r>
          </w:p>
          <w:p w14:paraId="6A48D0BD" w14:textId="77777777" w:rsidR="00DE1875" w:rsidRPr="006303FB" w:rsidRDefault="00DE1875" w:rsidP="00FC379F">
            <w:pPr>
              <w:jc w:val="center"/>
            </w:pPr>
            <w:r>
              <w:t>(2mg)</w:t>
            </w:r>
          </w:p>
        </w:tc>
        <w:tc>
          <w:tcPr>
            <w:tcW w:w="967" w:type="dxa"/>
            <w:noWrap/>
            <w:vAlign w:val="center"/>
          </w:tcPr>
          <w:p w14:paraId="067CCCD6" w14:textId="77777777" w:rsidR="00DE1875" w:rsidRDefault="00DE1875" w:rsidP="00FC379F">
            <w:pPr>
              <w:jc w:val="center"/>
            </w:pPr>
            <w:proofErr w:type="spellStart"/>
            <w:r>
              <w:t>Sev</w:t>
            </w:r>
            <w:proofErr w:type="spellEnd"/>
          </w:p>
          <w:p w14:paraId="7CCAEFFA" w14:textId="77777777" w:rsidR="00DE1875" w:rsidRPr="006303FB" w:rsidRDefault="00DE1875" w:rsidP="00FC379F">
            <w:pPr>
              <w:jc w:val="center"/>
            </w:pPr>
            <w:r>
              <w:t>(1mg)</w:t>
            </w:r>
          </w:p>
        </w:tc>
        <w:tc>
          <w:tcPr>
            <w:tcW w:w="968" w:type="dxa"/>
            <w:noWrap/>
            <w:vAlign w:val="center"/>
          </w:tcPr>
          <w:p w14:paraId="1065398B" w14:textId="77777777" w:rsidR="00DE1875" w:rsidRDefault="00DE1875" w:rsidP="00FC379F">
            <w:pPr>
              <w:jc w:val="center"/>
            </w:pPr>
            <w:proofErr w:type="spellStart"/>
            <w:r>
              <w:t>Sev</w:t>
            </w:r>
            <w:proofErr w:type="spellEnd"/>
          </w:p>
          <w:p w14:paraId="165D3662" w14:textId="77777777" w:rsidR="00DE1875" w:rsidRPr="006303FB" w:rsidRDefault="00DE1875" w:rsidP="00FC379F">
            <w:pPr>
              <w:jc w:val="center"/>
            </w:pPr>
            <w:r>
              <w:t>(1.5mg)</w:t>
            </w:r>
          </w:p>
        </w:tc>
        <w:tc>
          <w:tcPr>
            <w:tcW w:w="968" w:type="dxa"/>
            <w:noWrap/>
            <w:vAlign w:val="center"/>
          </w:tcPr>
          <w:p w14:paraId="10FBF983" w14:textId="77777777" w:rsidR="00DE1875" w:rsidRPr="006303FB" w:rsidRDefault="00DE1875" w:rsidP="00FC379F">
            <w:pPr>
              <w:jc w:val="center"/>
            </w:pPr>
            <w:r>
              <w:t>Total</w:t>
            </w:r>
          </w:p>
        </w:tc>
      </w:tr>
      <w:tr w:rsidR="00DE1875" w14:paraId="01A39A80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68A1629E" w14:textId="77777777" w:rsidR="00DE1875" w:rsidRPr="006303FB" w:rsidRDefault="00DE1875" w:rsidP="00FC379F">
            <w:pPr>
              <w:rPr>
                <w:b/>
                <w:bCs/>
              </w:rPr>
            </w:pPr>
            <w:r>
              <w:rPr>
                <w:b/>
                <w:bCs/>
              </w:rPr>
              <w:t>Number of patients</w:t>
            </w:r>
          </w:p>
        </w:tc>
        <w:tc>
          <w:tcPr>
            <w:tcW w:w="968" w:type="dxa"/>
            <w:noWrap/>
            <w:vAlign w:val="center"/>
          </w:tcPr>
          <w:p w14:paraId="12513C84" w14:textId="77777777" w:rsidR="00DE1875" w:rsidRDefault="00DE1875" w:rsidP="00FC379F">
            <w:pPr>
              <w:jc w:val="center"/>
            </w:pPr>
            <w:r>
              <w:t>17</w:t>
            </w:r>
          </w:p>
        </w:tc>
        <w:tc>
          <w:tcPr>
            <w:tcW w:w="969" w:type="dxa"/>
            <w:noWrap/>
            <w:vAlign w:val="center"/>
          </w:tcPr>
          <w:p w14:paraId="518B43C2" w14:textId="77777777" w:rsidR="00DE1875" w:rsidRDefault="00DE1875" w:rsidP="00FC379F">
            <w:pPr>
              <w:jc w:val="center"/>
            </w:pPr>
            <w:r>
              <w:t>7</w:t>
            </w:r>
          </w:p>
        </w:tc>
        <w:tc>
          <w:tcPr>
            <w:tcW w:w="967" w:type="dxa"/>
            <w:noWrap/>
            <w:vAlign w:val="center"/>
          </w:tcPr>
          <w:p w14:paraId="66B33EF8" w14:textId="77777777" w:rsidR="00DE1875" w:rsidRDefault="00DE1875" w:rsidP="00FC379F">
            <w:pPr>
              <w:jc w:val="center"/>
            </w:pPr>
            <w:r>
              <w:t>4</w:t>
            </w:r>
          </w:p>
        </w:tc>
        <w:tc>
          <w:tcPr>
            <w:tcW w:w="968" w:type="dxa"/>
            <w:noWrap/>
            <w:vAlign w:val="center"/>
          </w:tcPr>
          <w:p w14:paraId="0583939A" w14:textId="77777777" w:rsidR="00DE1875" w:rsidRDefault="00DE1875" w:rsidP="00FC379F">
            <w:pPr>
              <w:jc w:val="center"/>
            </w:pPr>
            <w:r>
              <w:t>5</w:t>
            </w:r>
          </w:p>
        </w:tc>
        <w:tc>
          <w:tcPr>
            <w:tcW w:w="967" w:type="dxa"/>
            <w:noWrap/>
            <w:vAlign w:val="center"/>
          </w:tcPr>
          <w:p w14:paraId="23C236D1" w14:textId="77777777" w:rsidR="00DE1875" w:rsidRDefault="00DE1875" w:rsidP="00FC379F">
            <w:pPr>
              <w:jc w:val="center"/>
            </w:pPr>
            <w:r>
              <w:t>9</w:t>
            </w:r>
          </w:p>
        </w:tc>
        <w:tc>
          <w:tcPr>
            <w:tcW w:w="968" w:type="dxa"/>
            <w:noWrap/>
            <w:vAlign w:val="center"/>
          </w:tcPr>
          <w:p w14:paraId="6CBDA86B" w14:textId="77777777" w:rsidR="00DE1875" w:rsidRDefault="00DE1875" w:rsidP="00FC379F">
            <w:pPr>
              <w:jc w:val="center"/>
            </w:pPr>
            <w:r>
              <w:t>2</w:t>
            </w:r>
          </w:p>
        </w:tc>
        <w:tc>
          <w:tcPr>
            <w:tcW w:w="968" w:type="dxa"/>
            <w:noWrap/>
            <w:vAlign w:val="center"/>
          </w:tcPr>
          <w:p w14:paraId="42F30F6D" w14:textId="77777777" w:rsidR="00DE1875" w:rsidRDefault="00DE1875" w:rsidP="00FC379F">
            <w:pPr>
              <w:jc w:val="center"/>
            </w:pPr>
            <w:r>
              <w:t>44</w:t>
            </w:r>
          </w:p>
        </w:tc>
      </w:tr>
      <w:tr w:rsidR="00DE1875" w:rsidRPr="006303FB" w14:paraId="0ED7B2C9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7C6AC211" w14:textId="77777777" w:rsidR="00DE1875" w:rsidRPr="006303FB" w:rsidRDefault="00DE1875" w:rsidP="00FC379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PK</w:t>
            </w:r>
            <w:r w:rsidRPr="006303FB">
              <w:rPr>
                <w:b/>
                <w:bCs/>
              </w:rPr>
              <w:t xml:space="preserve"> evaluable</w:t>
            </w:r>
            <w:r>
              <w:rPr>
                <w:b/>
                <w:bCs/>
              </w:rPr>
              <w:t xml:space="preserve"> patients</w:t>
            </w:r>
          </w:p>
        </w:tc>
        <w:tc>
          <w:tcPr>
            <w:tcW w:w="968" w:type="dxa"/>
            <w:noWrap/>
          </w:tcPr>
          <w:p w14:paraId="26A3EE67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10</w:t>
            </w:r>
          </w:p>
        </w:tc>
        <w:tc>
          <w:tcPr>
            <w:tcW w:w="969" w:type="dxa"/>
            <w:noWrap/>
          </w:tcPr>
          <w:p w14:paraId="79FDBDE8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6</w:t>
            </w:r>
          </w:p>
        </w:tc>
        <w:tc>
          <w:tcPr>
            <w:tcW w:w="967" w:type="dxa"/>
            <w:noWrap/>
          </w:tcPr>
          <w:p w14:paraId="166B5AFB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2</w:t>
            </w:r>
          </w:p>
        </w:tc>
        <w:tc>
          <w:tcPr>
            <w:tcW w:w="968" w:type="dxa"/>
            <w:noWrap/>
          </w:tcPr>
          <w:p w14:paraId="2F8DFFAA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1</w:t>
            </w:r>
          </w:p>
        </w:tc>
        <w:tc>
          <w:tcPr>
            <w:tcW w:w="967" w:type="dxa"/>
            <w:noWrap/>
          </w:tcPr>
          <w:p w14:paraId="7595E43D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2</w:t>
            </w:r>
          </w:p>
        </w:tc>
        <w:tc>
          <w:tcPr>
            <w:tcW w:w="968" w:type="dxa"/>
            <w:noWrap/>
          </w:tcPr>
          <w:p w14:paraId="1261DCF1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1</w:t>
            </w:r>
          </w:p>
        </w:tc>
        <w:tc>
          <w:tcPr>
            <w:tcW w:w="968" w:type="dxa"/>
            <w:noWrap/>
          </w:tcPr>
          <w:p w14:paraId="4F65C8DD" w14:textId="77777777" w:rsidR="00DE1875" w:rsidRPr="006303FB" w:rsidRDefault="00DE1875" w:rsidP="00FC379F">
            <w:pPr>
              <w:spacing w:after="160" w:line="259" w:lineRule="auto"/>
              <w:jc w:val="center"/>
            </w:pPr>
            <w:r w:rsidRPr="00F6119F">
              <w:t>22</w:t>
            </w:r>
          </w:p>
        </w:tc>
      </w:tr>
      <w:tr w:rsidR="00DE1875" w:rsidRPr="006303FB" w14:paraId="08B5E4C7" w14:textId="77777777" w:rsidTr="00FC379F">
        <w:trPr>
          <w:trHeight w:val="292"/>
        </w:trPr>
        <w:tc>
          <w:tcPr>
            <w:tcW w:w="10682" w:type="dxa"/>
            <w:gridSpan w:val="8"/>
            <w:noWrap/>
            <w:vAlign w:val="center"/>
          </w:tcPr>
          <w:p w14:paraId="03F27D19" w14:textId="77777777" w:rsidR="00DE1875" w:rsidRPr="006303FB" w:rsidRDefault="00DE1875" w:rsidP="00FC379F">
            <w:pPr>
              <w:jc w:val="center"/>
            </w:pPr>
            <w:r>
              <w:rPr>
                <w:b/>
                <w:bCs/>
              </w:rPr>
              <w:t>Reasons for PK non-evaluability</w:t>
            </w:r>
          </w:p>
        </w:tc>
      </w:tr>
      <w:tr w:rsidR="00DE1875" w:rsidRPr="006303FB" w14:paraId="154A8FED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45165EB7" w14:textId="77777777" w:rsidR="00DE1875" w:rsidRPr="006C27B0" w:rsidRDefault="00DE1875" w:rsidP="00DE187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6C27B0">
              <w:rPr>
                <w:b/>
                <w:bCs/>
              </w:rPr>
              <w:t>Withdrawal of consent</w:t>
            </w:r>
          </w:p>
        </w:tc>
        <w:tc>
          <w:tcPr>
            <w:tcW w:w="968" w:type="dxa"/>
            <w:noWrap/>
            <w:vAlign w:val="center"/>
          </w:tcPr>
          <w:p w14:paraId="063C63B5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9" w:type="dxa"/>
            <w:noWrap/>
            <w:vAlign w:val="center"/>
          </w:tcPr>
          <w:p w14:paraId="55C9C655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67" w:type="dxa"/>
            <w:noWrap/>
            <w:vAlign w:val="center"/>
          </w:tcPr>
          <w:p w14:paraId="38CA91D5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4E4961E2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7" w:type="dxa"/>
            <w:noWrap/>
            <w:vAlign w:val="center"/>
          </w:tcPr>
          <w:p w14:paraId="703CFC35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6EA466AD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3403EA91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</w:tr>
      <w:tr w:rsidR="00DE1875" w:rsidRPr="006303FB" w14:paraId="4805E94B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68802301" w14:textId="77777777" w:rsidR="00DE1875" w:rsidRPr="006C27B0" w:rsidRDefault="00DE1875" w:rsidP="00DE187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6C27B0">
              <w:rPr>
                <w:b/>
                <w:bCs/>
              </w:rPr>
              <w:t>Dose interruption/</w:t>
            </w:r>
            <w:proofErr w:type="gramStart"/>
            <w:r>
              <w:rPr>
                <w:b/>
                <w:bCs/>
              </w:rPr>
              <w:t>modification</w:t>
            </w:r>
            <w:r w:rsidRPr="006C27B0">
              <w:rPr>
                <w:b/>
                <w:bCs/>
              </w:rPr>
              <w:t xml:space="preserve">  due</w:t>
            </w:r>
            <w:proofErr w:type="gramEnd"/>
            <w:r w:rsidRPr="006C27B0">
              <w:rPr>
                <w:b/>
                <w:bCs/>
              </w:rPr>
              <w:t xml:space="preserve"> to treatment related AEs</w:t>
            </w:r>
          </w:p>
        </w:tc>
        <w:tc>
          <w:tcPr>
            <w:tcW w:w="968" w:type="dxa"/>
            <w:noWrap/>
            <w:vAlign w:val="center"/>
          </w:tcPr>
          <w:p w14:paraId="16CBC824" w14:textId="77777777" w:rsidR="00DE1875" w:rsidRPr="006303FB" w:rsidRDefault="00DE1875" w:rsidP="00FC379F">
            <w:pPr>
              <w:jc w:val="center"/>
            </w:pPr>
            <w:r>
              <w:t>7</w:t>
            </w:r>
          </w:p>
        </w:tc>
        <w:tc>
          <w:tcPr>
            <w:tcW w:w="969" w:type="dxa"/>
            <w:noWrap/>
            <w:vAlign w:val="center"/>
          </w:tcPr>
          <w:p w14:paraId="22C9BA56" w14:textId="77777777" w:rsidR="00DE1875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7" w:type="dxa"/>
            <w:noWrap/>
            <w:vAlign w:val="center"/>
          </w:tcPr>
          <w:p w14:paraId="2FFE43FE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48833D71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67" w:type="dxa"/>
            <w:noWrap/>
            <w:vAlign w:val="center"/>
          </w:tcPr>
          <w:p w14:paraId="6DD8ED8B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361DD100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30E7CF3B" w14:textId="77777777" w:rsidR="00DE1875" w:rsidRPr="006303FB" w:rsidRDefault="00DE1875" w:rsidP="00FC379F">
            <w:pPr>
              <w:jc w:val="center"/>
            </w:pPr>
            <w:r>
              <w:t>8</w:t>
            </w:r>
          </w:p>
        </w:tc>
      </w:tr>
      <w:tr w:rsidR="00DE1875" w:rsidRPr="006303FB" w14:paraId="5490DEB5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25D3BA70" w14:textId="77777777" w:rsidR="00DE1875" w:rsidRPr="006C27B0" w:rsidRDefault="00DE1875" w:rsidP="00DE187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6C27B0">
              <w:rPr>
                <w:b/>
                <w:bCs/>
              </w:rPr>
              <w:t>Dose interruption/</w:t>
            </w:r>
            <w:proofErr w:type="gramStart"/>
            <w:r>
              <w:rPr>
                <w:b/>
                <w:bCs/>
              </w:rPr>
              <w:t>modification</w:t>
            </w:r>
            <w:r w:rsidRPr="006C27B0">
              <w:rPr>
                <w:b/>
                <w:bCs/>
              </w:rPr>
              <w:t xml:space="preserve">  due</w:t>
            </w:r>
            <w:proofErr w:type="gramEnd"/>
            <w:r w:rsidRPr="006C27B0">
              <w:rPr>
                <w:b/>
                <w:bCs/>
              </w:rPr>
              <w:t xml:space="preserve"> to treatment unrelated AEs</w:t>
            </w:r>
          </w:p>
        </w:tc>
        <w:tc>
          <w:tcPr>
            <w:tcW w:w="968" w:type="dxa"/>
            <w:noWrap/>
            <w:vAlign w:val="center"/>
          </w:tcPr>
          <w:p w14:paraId="46A42C82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9" w:type="dxa"/>
            <w:noWrap/>
            <w:vAlign w:val="center"/>
          </w:tcPr>
          <w:p w14:paraId="234C5E8E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7" w:type="dxa"/>
            <w:noWrap/>
            <w:vAlign w:val="center"/>
          </w:tcPr>
          <w:p w14:paraId="43D43392" w14:textId="77777777" w:rsidR="00DE1875" w:rsidRPr="006303FB" w:rsidRDefault="00DE1875" w:rsidP="00FC379F">
            <w:pPr>
              <w:jc w:val="center"/>
            </w:pPr>
            <w:r>
              <w:t>2</w:t>
            </w:r>
          </w:p>
        </w:tc>
        <w:tc>
          <w:tcPr>
            <w:tcW w:w="968" w:type="dxa"/>
            <w:noWrap/>
            <w:vAlign w:val="center"/>
          </w:tcPr>
          <w:p w14:paraId="3ECB348B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67" w:type="dxa"/>
            <w:noWrap/>
            <w:vAlign w:val="center"/>
          </w:tcPr>
          <w:p w14:paraId="14AB7D6F" w14:textId="77777777" w:rsidR="00DE1875" w:rsidRPr="006303FB" w:rsidRDefault="00DE1875" w:rsidP="00FC379F">
            <w:pPr>
              <w:jc w:val="center"/>
            </w:pPr>
            <w:r>
              <w:t>3</w:t>
            </w:r>
          </w:p>
        </w:tc>
        <w:tc>
          <w:tcPr>
            <w:tcW w:w="968" w:type="dxa"/>
            <w:noWrap/>
            <w:vAlign w:val="center"/>
          </w:tcPr>
          <w:p w14:paraId="11F7C300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690088E6" w14:textId="77777777" w:rsidR="00DE1875" w:rsidRPr="006303FB" w:rsidRDefault="00DE1875" w:rsidP="00FC379F">
            <w:pPr>
              <w:jc w:val="center"/>
            </w:pPr>
            <w:r>
              <w:t>6</w:t>
            </w:r>
          </w:p>
        </w:tc>
      </w:tr>
      <w:tr w:rsidR="00DE1875" w:rsidRPr="006303FB" w14:paraId="799899C6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54BCA8F5" w14:textId="77777777" w:rsidR="00DE1875" w:rsidRPr="006C27B0" w:rsidRDefault="00DE1875" w:rsidP="00DE187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6C27B0">
              <w:rPr>
                <w:b/>
                <w:bCs/>
              </w:rPr>
              <w:t>Disease progression</w:t>
            </w:r>
          </w:p>
        </w:tc>
        <w:tc>
          <w:tcPr>
            <w:tcW w:w="968" w:type="dxa"/>
            <w:noWrap/>
            <w:vAlign w:val="center"/>
          </w:tcPr>
          <w:p w14:paraId="64AAABB9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9" w:type="dxa"/>
            <w:noWrap/>
            <w:vAlign w:val="center"/>
          </w:tcPr>
          <w:p w14:paraId="028AC78E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7" w:type="dxa"/>
            <w:noWrap/>
            <w:vAlign w:val="center"/>
          </w:tcPr>
          <w:p w14:paraId="211642EB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6E11EAEA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67" w:type="dxa"/>
            <w:noWrap/>
            <w:vAlign w:val="center"/>
          </w:tcPr>
          <w:p w14:paraId="406E1708" w14:textId="77777777" w:rsidR="00DE1875" w:rsidRPr="006303FB" w:rsidRDefault="00DE1875" w:rsidP="00FC379F">
            <w:pPr>
              <w:jc w:val="center"/>
            </w:pPr>
            <w:r>
              <w:t>2</w:t>
            </w:r>
          </w:p>
        </w:tc>
        <w:tc>
          <w:tcPr>
            <w:tcW w:w="968" w:type="dxa"/>
            <w:noWrap/>
            <w:vAlign w:val="center"/>
          </w:tcPr>
          <w:p w14:paraId="5A7669D8" w14:textId="77777777" w:rsidR="00DE1875" w:rsidRPr="006303FB" w:rsidRDefault="00DE1875" w:rsidP="00FC379F">
            <w:pPr>
              <w:jc w:val="center"/>
            </w:pPr>
            <w:r>
              <w:t>1</w:t>
            </w:r>
          </w:p>
        </w:tc>
        <w:tc>
          <w:tcPr>
            <w:tcW w:w="968" w:type="dxa"/>
            <w:noWrap/>
            <w:vAlign w:val="center"/>
          </w:tcPr>
          <w:p w14:paraId="0BC75871" w14:textId="77777777" w:rsidR="00DE1875" w:rsidRPr="006303FB" w:rsidRDefault="00DE1875" w:rsidP="00FC379F">
            <w:pPr>
              <w:jc w:val="center"/>
            </w:pPr>
            <w:r>
              <w:t>4</w:t>
            </w:r>
          </w:p>
        </w:tc>
      </w:tr>
      <w:tr w:rsidR="00DE1875" w:rsidRPr="006303FB" w14:paraId="632F62BB" w14:textId="77777777" w:rsidTr="00FC379F">
        <w:trPr>
          <w:trHeight w:val="292"/>
        </w:trPr>
        <w:tc>
          <w:tcPr>
            <w:tcW w:w="3907" w:type="dxa"/>
            <w:noWrap/>
            <w:vAlign w:val="center"/>
          </w:tcPr>
          <w:p w14:paraId="6E504001" w14:textId="77777777" w:rsidR="00DE1875" w:rsidRPr="00AB0397" w:rsidRDefault="00DE1875" w:rsidP="00DE187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968" w:type="dxa"/>
            <w:noWrap/>
            <w:vAlign w:val="center"/>
          </w:tcPr>
          <w:p w14:paraId="17B468F7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9" w:type="dxa"/>
            <w:noWrap/>
            <w:vAlign w:val="center"/>
          </w:tcPr>
          <w:p w14:paraId="7F2B9648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7" w:type="dxa"/>
            <w:noWrap/>
            <w:vAlign w:val="center"/>
          </w:tcPr>
          <w:p w14:paraId="46313E18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6A27F4F5" w14:textId="77777777" w:rsidR="00DE1875" w:rsidRPr="006303FB" w:rsidRDefault="00DE1875" w:rsidP="00FC379F">
            <w:pPr>
              <w:jc w:val="center"/>
            </w:pPr>
            <w:r>
              <w:t>1***</w:t>
            </w:r>
          </w:p>
        </w:tc>
        <w:tc>
          <w:tcPr>
            <w:tcW w:w="967" w:type="dxa"/>
            <w:noWrap/>
            <w:vAlign w:val="center"/>
          </w:tcPr>
          <w:p w14:paraId="19ED5DD5" w14:textId="77777777" w:rsidR="00DE1875" w:rsidRPr="003B0F25" w:rsidRDefault="00DE1875" w:rsidP="00FC379F">
            <w:pPr>
              <w:jc w:val="center"/>
            </w:pPr>
            <w:r>
              <w:t>2**</w:t>
            </w:r>
            <w:r>
              <w:rPr>
                <w:vertAlign w:val="superscript"/>
              </w:rPr>
              <w:t>/</w:t>
            </w:r>
            <w:r>
              <w:t>***</w:t>
            </w:r>
          </w:p>
        </w:tc>
        <w:tc>
          <w:tcPr>
            <w:tcW w:w="968" w:type="dxa"/>
            <w:noWrap/>
            <w:vAlign w:val="center"/>
          </w:tcPr>
          <w:p w14:paraId="42356D66" w14:textId="77777777" w:rsidR="00DE1875" w:rsidRPr="006303FB" w:rsidRDefault="00DE1875" w:rsidP="00FC379F">
            <w:pPr>
              <w:jc w:val="center"/>
            </w:pPr>
            <w:r>
              <w:t>0</w:t>
            </w:r>
          </w:p>
        </w:tc>
        <w:tc>
          <w:tcPr>
            <w:tcW w:w="968" w:type="dxa"/>
            <w:noWrap/>
            <w:vAlign w:val="center"/>
          </w:tcPr>
          <w:p w14:paraId="16B2C4AA" w14:textId="77777777" w:rsidR="00DE1875" w:rsidRPr="006303FB" w:rsidRDefault="00DE1875" w:rsidP="00FC379F">
            <w:pPr>
              <w:jc w:val="center"/>
            </w:pPr>
            <w:r>
              <w:t>3</w:t>
            </w:r>
          </w:p>
        </w:tc>
      </w:tr>
    </w:tbl>
    <w:p w14:paraId="2BEB89E2" w14:textId="77777777" w:rsidR="00DE1875" w:rsidRDefault="00DE1875" w:rsidP="00DE1875">
      <w:pPr>
        <w:spacing w:after="0"/>
      </w:pPr>
      <w:r w:rsidRPr="000D0EA1">
        <w:t xml:space="preserve">** 1 patient had elevation of total bilirubin at baseline (C1D1) of </w:t>
      </w:r>
      <w:proofErr w:type="spellStart"/>
      <w:r w:rsidRPr="000D0EA1">
        <w:t>Sev</w:t>
      </w:r>
      <w:proofErr w:type="spellEnd"/>
      <w:r w:rsidRPr="000D0EA1">
        <w:t xml:space="preserve"> group but rapidly resolved to normal bilirubin (Norm group criteria) </w:t>
      </w:r>
      <w:proofErr w:type="spellStart"/>
      <w:r w:rsidRPr="000D0EA1">
        <w:t>through out</w:t>
      </w:r>
      <w:proofErr w:type="spellEnd"/>
      <w:r w:rsidRPr="000D0EA1">
        <w:t xml:space="preserve"> all the blood test timepoint in DLT period (Cycle 1)</w:t>
      </w:r>
    </w:p>
    <w:p w14:paraId="061576CD" w14:textId="77777777" w:rsidR="00DE1875" w:rsidRDefault="00DE1875" w:rsidP="00DE1875">
      <w:pPr>
        <w:spacing w:after="0"/>
      </w:pPr>
      <w:r>
        <w:t xml:space="preserve">*** 1 patient each from Mod (2mg) and </w:t>
      </w:r>
      <w:proofErr w:type="spellStart"/>
      <w:r>
        <w:t>Sev</w:t>
      </w:r>
      <w:proofErr w:type="spellEnd"/>
      <w:r>
        <w:t xml:space="preserve"> (1mg) had incomplete PK sample collection</w:t>
      </w:r>
    </w:p>
    <w:p w14:paraId="007B45D5" w14:textId="77777777" w:rsidR="00DE1875" w:rsidRDefault="00DE1875" w:rsidP="00DE1875">
      <w:pPr>
        <w:rPr>
          <w:rFonts w:ascii="Times New Roman" w:hAnsi="Times New Roman" w:cs="Times New Roman"/>
          <w:sz w:val="24"/>
          <w:szCs w:val="24"/>
        </w:rPr>
      </w:pPr>
    </w:p>
    <w:p w14:paraId="1432A811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766643AE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C3F55B2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34C76A0D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613C4D23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61681E71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7264B003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bookmarkEnd w:id="4"/>
    <w:p w14:paraId="1BC15090" w14:textId="77777777" w:rsidR="00DE1875" w:rsidRDefault="00DE1875" w:rsidP="00DE1875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DE1875" w:rsidSect="00A339F1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09CC" w14:textId="77777777" w:rsidR="00C56247" w:rsidRDefault="00C56247" w:rsidP="00DE1875">
      <w:pPr>
        <w:spacing w:after="0" w:line="240" w:lineRule="auto"/>
      </w:pPr>
      <w:r>
        <w:separator/>
      </w:r>
    </w:p>
  </w:endnote>
  <w:endnote w:type="continuationSeparator" w:id="0">
    <w:p w14:paraId="13550ACA" w14:textId="77777777" w:rsidR="00C56247" w:rsidRDefault="00C56247" w:rsidP="00D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5CCD5" w14:textId="5025DE44" w:rsidR="00DE1875" w:rsidRDefault="00DE1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DA04C" w14:textId="77777777" w:rsidR="00DE1875" w:rsidRDefault="00DE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099D" w14:textId="77777777" w:rsidR="00C56247" w:rsidRDefault="00C56247" w:rsidP="00DE1875">
      <w:pPr>
        <w:spacing w:after="0" w:line="240" w:lineRule="auto"/>
      </w:pPr>
      <w:r>
        <w:separator/>
      </w:r>
    </w:p>
  </w:footnote>
  <w:footnote w:type="continuationSeparator" w:id="0">
    <w:p w14:paraId="1B4C3B4B" w14:textId="77777777" w:rsidR="00C56247" w:rsidRDefault="00C56247" w:rsidP="00DE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6B2"/>
    <w:multiLevelType w:val="hybridMultilevel"/>
    <w:tmpl w:val="12EAF9E0"/>
    <w:lvl w:ilvl="0" w:tplc="D7100F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1509"/>
    <w:multiLevelType w:val="hybridMultilevel"/>
    <w:tmpl w:val="42A4212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C3C"/>
    <w:multiLevelType w:val="hybridMultilevel"/>
    <w:tmpl w:val="8FBE15A0"/>
    <w:lvl w:ilvl="0" w:tplc="38603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3044"/>
    <w:multiLevelType w:val="hybridMultilevel"/>
    <w:tmpl w:val="2A86AA36"/>
    <w:lvl w:ilvl="0" w:tplc="8F4A84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0181"/>
    <w:multiLevelType w:val="hybridMultilevel"/>
    <w:tmpl w:val="AF666BEE"/>
    <w:lvl w:ilvl="0" w:tplc="4216AF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47F"/>
    <w:multiLevelType w:val="hybridMultilevel"/>
    <w:tmpl w:val="E39EE03C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A0F26"/>
    <w:multiLevelType w:val="hybridMultilevel"/>
    <w:tmpl w:val="A7FCF4EA"/>
    <w:lvl w:ilvl="0" w:tplc="56C684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788C"/>
    <w:multiLevelType w:val="hybridMultilevel"/>
    <w:tmpl w:val="B27E0CAA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775BD"/>
    <w:multiLevelType w:val="hybridMultilevel"/>
    <w:tmpl w:val="C1F80104"/>
    <w:lvl w:ilvl="0" w:tplc="7ED40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75"/>
    <w:rsid w:val="00451755"/>
    <w:rsid w:val="008B4A90"/>
    <w:rsid w:val="00912BBD"/>
    <w:rsid w:val="00A40B27"/>
    <w:rsid w:val="00C56247"/>
    <w:rsid w:val="00D76778"/>
    <w:rsid w:val="00DE1875"/>
    <w:rsid w:val="00E300BB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81EA"/>
  <w15:chartTrackingRefBased/>
  <w15:docId w15:val="{FF5322D7-C3E4-4DDD-BC99-7B6AFBAE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75"/>
  </w:style>
  <w:style w:type="paragraph" w:styleId="Heading1">
    <w:name w:val="heading 1"/>
    <w:basedOn w:val="Normal"/>
    <w:next w:val="Normal"/>
    <w:link w:val="Heading1Char"/>
    <w:uiPriority w:val="9"/>
    <w:qFormat/>
    <w:rsid w:val="00DE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75"/>
  </w:style>
  <w:style w:type="paragraph" w:styleId="Footer">
    <w:name w:val="footer"/>
    <w:basedOn w:val="Normal"/>
    <w:link w:val="FooterChar"/>
    <w:uiPriority w:val="99"/>
    <w:unhideWhenUsed/>
    <w:rsid w:val="00DE1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75"/>
  </w:style>
  <w:style w:type="paragraph" w:customStyle="1" w:styleId="EndNoteBibliographyTitle">
    <w:name w:val="EndNote Bibliography Title"/>
    <w:basedOn w:val="Normal"/>
    <w:link w:val="EndNoteBibliographyTitleChar"/>
    <w:rsid w:val="00DE187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187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E187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187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E187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E1875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7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8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875"/>
    <w:pPr>
      <w:ind w:left="720"/>
      <w:contextualSpacing/>
    </w:pPr>
  </w:style>
  <w:style w:type="paragraph" w:styleId="Revision">
    <w:name w:val="Revision"/>
    <w:hidden/>
    <w:uiPriority w:val="99"/>
    <w:semiHidden/>
    <w:rsid w:val="00DE187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8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1875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187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E187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E18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JYE VOON</dc:creator>
  <cp:keywords/>
  <dc:description/>
  <cp:lastModifiedBy>PEI JYE VOON</cp:lastModifiedBy>
  <cp:revision>2</cp:revision>
  <dcterms:created xsi:type="dcterms:W3CDTF">2021-11-01T14:04:00Z</dcterms:created>
  <dcterms:modified xsi:type="dcterms:W3CDTF">2021-11-01T14:04:00Z</dcterms:modified>
</cp:coreProperties>
</file>