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BC" w:rsidRPr="00DF1F3B" w:rsidRDefault="00BD26BC" w:rsidP="00BD26BC">
      <w:pPr>
        <w:autoSpaceDE w:val="0"/>
        <w:autoSpaceDN w:val="0"/>
        <w:adjustRightInd w:val="0"/>
        <w:spacing w:after="0" w:line="480" w:lineRule="auto"/>
        <w:rPr>
          <w:rFonts w:asciiTheme="majorBidi" w:hAnsiTheme="majorBidi" w:cstheme="majorBidi"/>
          <w:b/>
          <w:bCs/>
          <w:sz w:val="28"/>
          <w:szCs w:val="28"/>
        </w:rPr>
      </w:pPr>
      <w:r w:rsidRPr="00DF1F3B">
        <w:rPr>
          <w:rFonts w:asciiTheme="majorBidi" w:hAnsiTheme="majorBidi" w:cstheme="majorBidi"/>
          <w:b/>
          <w:bCs/>
          <w:sz w:val="28"/>
          <w:szCs w:val="28"/>
        </w:rPr>
        <w:t>Methods</w:t>
      </w:r>
    </w:p>
    <w:p w:rsidR="00BD26BC" w:rsidRPr="00DF1F3B" w:rsidRDefault="00BD26BC" w:rsidP="00BD26BC">
      <w:pPr>
        <w:autoSpaceDE w:val="0"/>
        <w:autoSpaceDN w:val="0"/>
        <w:adjustRightInd w:val="0"/>
        <w:spacing w:after="0" w:line="480" w:lineRule="auto"/>
        <w:rPr>
          <w:rFonts w:asciiTheme="majorBidi" w:hAnsiTheme="majorBidi" w:cstheme="majorBidi"/>
          <w:b/>
          <w:bCs/>
        </w:rPr>
      </w:pPr>
      <w:r w:rsidRPr="00DF1F3B">
        <w:rPr>
          <w:rFonts w:asciiTheme="majorBidi" w:hAnsiTheme="majorBidi" w:cstheme="majorBidi"/>
          <w:b/>
          <w:bCs/>
        </w:rPr>
        <w:t>Animals and Grouping</w:t>
      </w:r>
    </w:p>
    <w:p w:rsidR="00BD26BC" w:rsidRPr="00DF1F3B" w:rsidRDefault="00BD26BC" w:rsidP="00BD26BC">
      <w:pPr>
        <w:autoSpaceDE w:val="0"/>
        <w:autoSpaceDN w:val="0"/>
        <w:adjustRightInd w:val="0"/>
        <w:spacing w:after="0" w:line="480" w:lineRule="auto"/>
        <w:rPr>
          <w:rFonts w:asciiTheme="majorBidi" w:hAnsiTheme="majorBidi" w:cstheme="majorBidi"/>
        </w:rPr>
      </w:pPr>
      <w:r w:rsidRPr="00DF1F3B">
        <w:rPr>
          <w:rFonts w:asciiTheme="majorBidi" w:hAnsiTheme="majorBidi" w:cstheme="majorBidi"/>
        </w:rPr>
        <w:t xml:space="preserve">In 2019, thirty male Sprague </w:t>
      </w:r>
      <w:proofErr w:type="spellStart"/>
      <w:r w:rsidRPr="00DF1F3B">
        <w:rPr>
          <w:rFonts w:asciiTheme="majorBidi" w:hAnsiTheme="majorBidi" w:cstheme="majorBidi"/>
        </w:rPr>
        <w:t>Dawley</w:t>
      </w:r>
      <w:proofErr w:type="spellEnd"/>
      <w:r w:rsidRPr="00DF1F3B">
        <w:rPr>
          <w:rFonts w:asciiTheme="majorBidi" w:hAnsiTheme="majorBidi" w:cstheme="majorBidi"/>
        </w:rPr>
        <w:t xml:space="preserve"> rats (220±20 g) that were purchased from Experimental and Comparative Medicine Center of Shiraz University of Medical Sciences, Shiraz, Iran were randomly divided into three equal groups of 10 animals. Control group received 0.5 mL/kg of normal saline </w:t>
      </w:r>
      <w:proofErr w:type="spellStart"/>
      <w:r w:rsidRPr="00DF1F3B">
        <w:rPr>
          <w:rFonts w:asciiTheme="majorBidi" w:hAnsiTheme="majorBidi" w:cstheme="majorBidi"/>
        </w:rPr>
        <w:t>transrectally</w:t>
      </w:r>
      <w:proofErr w:type="spellEnd"/>
      <w:r w:rsidRPr="00DF1F3B">
        <w:rPr>
          <w:rFonts w:asciiTheme="majorBidi" w:hAnsiTheme="majorBidi" w:cstheme="majorBidi"/>
        </w:rPr>
        <w:t xml:space="preserve"> after induction of acute colitis. In sulfasalazine group, 500 mg/kg of sulfasalazine dissolved in 0.5 mL normal saline was administered </w:t>
      </w:r>
      <w:proofErr w:type="spellStart"/>
      <w:r w:rsidRPr="00DF1F3B">
        <w:rPr>
          <w:rFonts w:asciiTheme="majorBidi" w:hAnsiTheme="majorBidi" w:cstheme="majorBidi"/>
        </w:rPr>
        <w:t>transrectally</w:t>
      </w:r>
      <w:proofErr w:type="spellEnd"/>
      <w:r w:rsidRPr="00DF1F3B">
        <w:rPr>
          <w:rFonts w:asciiTheme="majorBidi" w:hAnsiTheme="majorBidi" w:cstheme="majorBidi"/>
        </w:rPr>
        <w:t xml:space="preserve"> after inducing acute colitis. In cell treatment group, 2×10</w:t>
      </w:r>
      <w:r w:rsidRPr="00DF1F3B">
        <w:rPr>
          <w:rFonts w:asciiTheme="majorBidi" w:hAnsiTheme="majorBidi" w:cstheme="majorBidi"/>
          <w:vertAlign w:val="superscript"/>
        </w:rPr>
        <w:t xml:space="preserve">6 </w:t>
      </w:r>
      <w:r w:rsidRPr="00DF1F3B">
        <w:rPr>
          <w:rFonts w:asciiTheme="majorBidi" w:hAnsiTheme="majorBidi" w:cstheme="majorBidi"/>
        </w:rPr>
        <w:t xml:space="preserve">of rat </w:t>
      </w:r>
      <w:proofErr w:type="spellStart"/>
      <w:r w:rsidRPr="00DF1F3B">
        <w:rPr>
          <w:rFonts w:asciiTheme="majorBidi" w:hAnsiTheme="majorBidi" w:cstheme="majorBidi"/>
        </w:rPr>
        <w:t>AdSCs</w:t>
      </w:r>
      <w:proofErr w:type="spellEnd"/>
      <w:r w:rsidRPr="00DF1F3B">
        <w:rPr>
          <w:rFonts w:asciiTheme="majorBidi" w:hAnsiTheme="majorBidi" w:cstheme="majorBidi"/>
        </w:rPr>
        <w:t xml:space="preserve"> of passage 4</w:t>
      </w:r>
      <w:r w:rsidRPr="00DF1F3B">
        <w:rPr>
          <w:rFonts w:asciiTheme="majorBidi" w:hAnsiTheme="majorBidi" w:cstheme="majorBidi"/>
          <w:vertAlign w:val="superscript"/>
        </w:rPr>
        <w:t>th</w:t>
      </w:r>
      <w:r w:rsidRPr="00DF1F3B">
        <w:rPr>
          <w:rFonts w:asciiTheme="majorBidi" w:hAnsiTheme="majorBidi" w:cstheme="majorBidi"/>
        </w:rPr>
        <w:t xml:space="preserve"> in 0.5 mL volume were transplanted </w:t>
      </w:r>
      <w:proofErr w:type="spellStart"/>
      <w:r w:rsidRPr="00DF1F3B">
        <w:rPr>
          <w:rFonts w:asciiTheme="majorBidi" w:hAnsiTheme="majorBidi" w:cstheme="majorBidi"/>
        </w:rPr>
        <w:t>transrectally</w:t>
      </w:r>
      <w:proofErr w:type="spellEnd"/>
      <w:r w:rsidRPr="00DF1F3B">
        <w:rPr>
          <w:rFonts w:asciiTheme="majorBidi" w:hAnsiTheme="majorBidi" w:cstheme="majorBidi"/>
        </w:rPr>
        <w:t>. Acute colitis was induced via enema using a needle inserted up to 8 cm into the colonic tissue and by injection of 2 mL of 3% acetic acid solution, while rats were kept in a vertical position (head-down) to avoid any leakage of acetic acid as described before</w:t>
      </w:r>
      <w:r w:rsidRPr="0086458E">
        <w:rPr>
          <w:rFonts w:asciiTheme="majorBidi" w:hAnsiTheme="majorBidi" w:cstheme="majorBidi"/>
          <w:vertAlign w:val="superscript"/>
        </w:rPr>
        <w:t>11</w:t>
      </w:r>
      <w:r w:rsidRPr="00DF1F3B">
        <w:rPr>
          <w:rFonts w:asciiTheme="majorBidi" w:hAnsiTheme="majorBidi" w:cstheme="majorBidi"/>
        </w:rPr>
        <w:t xml:space="preserve">. To confirm induction of colitis, rats were checked after 24 hours to suffer from diarrhea or rectal bleeding. Prior to induction of colitis, rats were deprived from food intake for 24 h, but had free access to water. </w:t>
      </w:r>
    </w:p>
    <w:p w:rsidR="00BD26BC" w:rsidRPr="00DF1F3B" w:rsidRDefault="00BD26BC" w:rsidP="00D574E8">
      <w:pPr>
        <w:autoSpaceDE w:val="0"/>
        <w:autoSpaceDN w:val="0"/>
        <w:adjustRightInd w:val="0"/>
        <w:spacing w:after="0" w:line="480" w:lineRule="auto"/>
        <w:rPr>
          <w:rFonts w:asciiTheme="majorBidi" w:hAnsiTheme="majorBidi" w:cstheme="majorBidi"/>
        </w:rPr>
      </w:pPr>
      <w:r w:rsidRPr="00DF1F3B">
        <w:rPr>
          <w:rFonts w:asciiTheme="majorBidi" w:hAnsiTheme="majorBidi" w:cstheme="majorBidi"/>
        </w:rPr>
        <w:t xml:space="preserve">All treatment interventions were started 24 hours after induction of colitis. During interventions, rats were anaesthetized </w:t>
      </w:r>
      <w:r w:rsidRPr="00DF1F3B">
        <w:rPr>
          <w:rFonts w:asciiTheme="majorBidi" w:eastAsia="MinionPro-Regular" w:hAnsiTheme="majorBidi" w:cstheme="majorBidi"/>
        </w:rPr>
        <w:t xml:space="preserve">by intra-peritoneal injection of </w:t>
      </w:r>
      <w:r w:rsidRPr="00DF1F3B">
        <w:rPr>
          <w:rFonts w:asciiTheme="majorBidi" w:hAnsiTheme="majorBidi" w:cstheme="majorBidi"/>
          <w:color w:val="000000"/>
        </w:rPr>
        <w:t>3 mg/kg</w:t>
      </w:r>
      <w:r w:rsidRPr="00DF1F3B">
        <w:rPr>
          <w:rFonts w:asciiTheme="majorBidi" w:eastAsia="MinionPro-Regular" w:hAnsiTheme="majorBidi" w:cstheme="majorBidi"/>
        </w:rPr>
        <w:t xml:space="preserve"> </w:t>
      </w:r>
      <w:proofErr w:type="spellStart"/>
      <w:r w:rsidRPr="00DF1F3B">
        <w:rPr>
          <w:rFonts w:asciiTheme="majorBidi" w:eastAsia="MinionPro-Regular" w:hAnsiTheme="majorBidi" w:cstheme="majorBidi"/>
        </w:rPr>
        <w:t>xylazine</w:t>
      </w:r>
      <w:proofErr w:type="spellEnd"/>
      <w:r w:rsidRPr="00DF1F3B">
        <w:rPr>
          <w:rFonts w:asciiTheme="majorBidi" w:eastAsia="MinionPro-Regular" w:hAnsiTheme="majorBidi" w:cstheme="majorBidi"/>
        </w:rPr>
        <w:t xml:space="preserve"> </w:t>
      </w:r>
      <w:r w:rsidRPr="00DF1F3B">
        <w:rPr>
          <w:rFonts w:asciiTheme="majorBidi" w:eastAsia="Times New Roman" w:hAnsiTheme="majorBidi" w:cstheme="majorBidi"/>
        </w:rPr>
        <w:t>(</w:t>
      </w:r>
      <w:r w:rsidRPr="00DF1F3B">
        <w:rPr>
          <w:rFonts w:asciiTheme="majorBidi" w:hAnsiTheme="majorBidi" w:cstheme="majorBidi"/>
          <w:color w:val="000000"/>
        </w:rPr>
        <w:t xml:space="preserve">2% </w:t>
      </w:r>
      <w:proofErr w:type="spellStart"/>
      <w:r w:rsidRPr="00DF1F3B">
        <w:rPr>
          <w:rFonts w:asciiTheme="majorBidi" w:hAnsiTheme="majorBidi" w:cstheme="majorBidi"/>
          <w:color w:val="000000"/>
        </w:rPr>
        <w:t>Rompun</w:t>
      </w:r>
      <w:proofErr w:type="spellEnd"/>
      <w:r w:rsidRPr="00DF1F3B">
        <w:rPr>
          <w:rFonts w:asciiTheme="majorBidi" w:hAnsiTheme="majorBidi" w:cstheme="majorBidi"/>
          <w:color w:val="000000"/>
        </w:rPr>
        <w:t>, Bayer Co., Germany</w:t>
      </w:r>
      <w:r w:rsidRPr="00DF1F3B">
        <w:rPr>
          <w:rFonts w:asciiTheme="majorBidi" w:eastAsia="Times New Roman" w:hAnsiTheme="majorBidi" w:cstheme="majorBidi"/>
        </w:rPr>
        <w:t xml:space="preserve">) </w:t>
      </w:r>
      <w:r w:rsidRPr="00DF1F3B">
        <w:rPr>
          <w:rFonts w:asciiTheme="majorBidi" w:eastAsia="MinionPro-Regular" w:hAnsiTheme="majorBidi" w:cstheme="majorBidi"/>
        </w:rPr>
        <w:t xml:space="preserve">and </w:t>
      </w:r>
      <w:r w:rsidRPr="00DF1F3B">
        <w:rPr>
          <w:rFonts w:asciiTheme="majorBidi" w:hAnsiTheme="majorBidi" w:cstheme="majorBidi"/>
          <w:color w:val="000000"/>
        </w:rPr>
        <w:t>30 mg/kg</w:t>
      </w:r>
      <w:r w:rsidRPr="00DF1F3B">
        <w:rPr>
          <w:rFonts w:asciiTheme="majorBidi" w:eastAsia="MinionPro-Regular" w:hAnsiTheme="majorBidi" w:cstheme="majorBidi"/>
        </w:rPr>
        <w:t xml:space="preserve"> ketamine </w:t>
      </w:r>
      <w:r w:rsidRPr="00DF1F3B">
        <w:rPr>
          <w:rFonts w:asciiTheme="majorBidi" w:eastAsia="Times New Roman" w:hAnsiTheme="majorBidi" w:cstheme="majorBidi"/>
        </w:rPr>
        <w:t>(</w:t>
      </w:r>
      <w:proofErr w:type="spellStart"/>
      <w:r w:rsidRPr="00DF1F3B">
        <w:rPr>
          <w:rFonts w:asciiTheme="majorBidi" w:hAnsiTheme="majorBidi" w:cstheme="majorBidi"/>
          <w:color w:val="000000"/>
        </w:rPr>
        <w:t>Imalgène</w:t>
      </w:r>
      <w:proofErr w:type="spellEnd"/>
      <w:r w:rsidRPr="00DF1F3B">
        <w:rPr>
          <w:rFonts w:asciiTheme="majorBidi" w:hAnsiTheme="majorBidi" w:cstheme="majorBidi"/>
          <w:color w:val="000000"/>
        </w:rPr>
        <w:t xml:space="preserve"> 1000, </w:t>
      </w:r>
      <w:proofErr w:type="spellStart"/>
      <w:r w:rsidRPr="00DF1F3B">
        <w:rPr>
          <w:rFonts w:asciiTheme="majorBidi" w:hAnsiTheme="majorBidi" w:cstheme="majorBidi"/>
          <w:color w:val="000000"/>
        </w:rPr>
        <w:t>Merial</w:t>
      </w:r>
      <w:proofErr w:type="spellEnd"/>
      <w:r w:rsidRPr="00DF1F3B">
        <w:rPr>
          <w:rFonts w:asciiTheme="majorBidi" w:hAnsiTheme="majorBidi" w:cstheme="majorBidi"/>
          <w:color w:val="000000"/>
        </w:rPr>
        <w:t>, Germany</w:t>
      </w:r>
      <w:r w:rsidRPr="00DF1F3B">
        <w:rPr>
          <w:rFonts w:asciiTheme="majorBidi" w:eastAsia="Times New Roman" w:hAnsiTheme="majorBidi" w:cstheme="majorBidi"/>
        </w:rPr>
        <w:t>)</w:t>
      </w:r>
      <w:r w:rsidRPr="00DF1F3B">
        <w:rPr>
          <w:rFonts w:asciiTheme="majorBidi" w:eastAsia="MinionPro-Regular" w:hAnsiTheme="majorBidi" w:cstheme="majorBidi"/>
        </w:rPr>
        <w:t xml:space="preserve">. </w:t>
      </w:r>
      <w:r w:rsidRPr="00DF1F3B">
        <w:rPr>
          <w:rFonts w:asciiTheme="majorBidi" w:hAnsiTheme="majorBidi" w:cstheme="majorBidi"/>
        </w:rPr>
        <w:t>They were kept in separate cages under an ambient temperature of 21±2°C and a 65-70% relative humidity in a good ventilated room. All groups were followed for 21 days. On 7</w:t>
      </w:r>
      <w:r w:rsidRPr="00DF1F3B">
        <w:rPr>
          <w:rFonts w:asciiTheme="majorBidi" w:hAnsiTheme="majorBidi" w:cstheme="majorBidi"/>
          <w:vertAlign w:val="superscript"/>
        </w:rPr>
        <w:t>th</w:t>
      </w:r>
      <w:r w:rsidRPr="00DF1F3B">
        <w:rPr>
          <w:rFonts w:asciiTheme="majorBidi" w:hAnsiTheme="majorBidi" w:cstheme="majorBidi"/>
        </w:rPr>
        <w:t>, 14</w:t>
      </w:r>
      <w:r w:rsidRPr="00DF1F3B">
        <w:rPr>
          <w:rFonts w:asciiTheme="majorBidi" w:hAnsiTheme="majorBidi" w:cstheme="majorBidi"/>
          <w:vertAlign w:val="superscript"/>
        </w:rPr>
        <w:t>th</w:t>
      </w:r>
      <w:r w:rsidRPr="00DF1F3B">
        <w:rPr>
          <w:rFonts w:asciiTheme="majorBidi" w:hAnsiTheme="majorBidi" w:cstheme="majorBidi"/>
        </w:rPr>
        <w:t xml:space="preserve"> and 21</w:t>
      </w:r>
      <w:r w:rsidRPr="00DF1F3B">
        <w:rPr>
          <w:rFonts w:asciiTheme="majorBidi" w:hAnsiTheme="majorBidi" w:cstheme="majorBidi"/>
          <w:vertAlign w:val="superscript"/>
        </w:rPr>
        <w:t>st</w:t>
      </w:r>
      <w:r w:rsidRPr="00DF1F3B">
        <w:rPr>
          <w:rFonts w:asciiTheme="majorBidi" w:hAnsiTheme="majorBidi" w:cstheme="majorBidi"/>
        </w:rPr>
        <w:t xml:space="preserve"> days following treatment measures, the animals were sacrificed, and tissue samples were provided from the distal 10 cm portion of the colon for histological and molecular assessments. </w:t>
      </w:r>
      <w:bookmarkStart w:id="0" w:name="_GoBack"/>
      <w:bookmarkEnd w:id="0"/>
      <w:r w:rsidR="00D574E8" w:rsidRPr="00DF1F3B">
        <w:rPr>
          <w:rFonts w:asciiTheme="majorBidi" w:hAnsiTheme="majorBidi" w:cstheme="majorBidi"/>
        </w:rPr>
        <w:t>The animal studies were undertaken based on NIH Guidelines for the Care and Use of Laboratory Animals. The experimental protocol was approved by the Institutional Animal Care and Use Committee of our University (1398.056).</w:t>
      </w:r>
      <w:r w:rsidR="00D574E8">
        <w:rPr>
          <w:rFonts w:asciiTheme="majorBidi" w:hAnsiTheme="majorBidi" w:cstheme="majorBidi"/>
        </w:rPr>
        <w:t xml:space="preserve"> </w:t>
      </w:r>
      <w:r w:rsidR="00D574E8" w:rsidRPr="00DF1F3B">
        <w:rPr>
          <w:rFonts w:asciiTheme="majorBidi" w:hAnsiTheme="majorBidi" w:cstheme="majorBidi"/>
        </w:rPr>
        <w:t>All methods conducted in this study regarding the animals were in accordance with the ethical standards of Institutional Animal Care and Use Committee of Shiraz University of Medical Sciences</w:t>
      </w:r>
      <w:r w:rsidRPr="00DF1F3B">
        <w:rPr>
          <w:rFonts w:asciiTheme="majorBidi" w:hAnsiTheme="majorBidi" w:cstheme="majorBidi"/>
        </w:rPr>
        <w:t xml:space="preserve">. </w:t>
      </w:r>
    </w:p>
    <w:p w:rsidR="00BD26BC" w:rsidRPr="00DF1F3B" w:rsidRDefault="00BD26BC" w:rsidP="00BD26BC">
      <w:pPr>
        <w:autoSpaceDE w:val="0"/>
        <w:autoSpaceDN w:val="0"/>
        <w:adjustRightInd w:val="0"/>
        <w:spacing w:after="0" w:line="480" w:lineRule="auto"/>
        <w:rPr>
          <w:rFonts w:asciiTheme="majorBidi" w:hAnsiTheme="majorBidi" w:cstheme="majorBidi"/>
          <w:b/>
          <w:bCs/>
        </w:rPr>
      </w:pPr>
      <w:r w:rsidRPr="00DF1F3B">
        <w:rPr>
          <w:rFonts w:asciiTheme="majorBidi" w:hAnsiTheme="majorBidi" w:cstheme="majorBidi"/>
          <w:b/>
          <w:bCs/>
        </w:rPr>
        <w:t xml:space="preserve">Isolation of </w:t>
      </w:r>
      <w:proofErr w:type="spellStart"/>
      <w:r w:rsidRPr="00DF1F3B">
        <w:rPr>
          <w:rFonts w:asciiTheme="majorBidi" w:hAnsiTheme="majorBidi" w:cstheme="majorBidi"/>
          <w:b/>
          <w:bCs/>
        </w:rPr>
        <w:t>AdSCs</w:t>
      </w:r>
      <w:proofErr w:type="spellEnd"/>
    </w:p>
    <w:p w:rsidR="00BD26BC" w:rsidRPr="00DF1F3B" w:rsidRDefault="00BD26BC" w:rsidP="00BD26BC">
      <w:pPr>
        <w:autoSpaceDE w:val="0"/>
        <w:autoSpaceDN w:val="0"/>
        <w:adjustRightInd w:val="0"/>
        <w:spacing w:after="0" w:line="480" w:lineRule="auto"/>
        <w:rPr>
          <w:rFonts w:asciiTheme="majorBidi" w:hAnsiTheme="majorBidi" w:cstheme="majorBidi"/>
        </w:rPr>
      </w:pPr>
      <w:r w:rsidRPr="00DF1F3B">
        <w:rPr>
          <w:rFonts w:asciiTheme="majorBidi" w:hAnsiTheme="majorBidi" w:cstheme="majorBidi"/>
        </w:rPr>
        <w:lastRenderedPageBreak/>
        <w:t xml:space="preserve">Adipose tissues around the testes of rats were used for isolation of </w:t>
      </w:r>
      <w:proofErr w:type="spellStart"/>
      <w:r w:rsidRPr="00DF1F3B">
        <w:rPr>
          <w:rFonts w:asciiTheme="majorBidi" w:hAnsiTheme="majorBidi" w:cstheme="majorBidi"/>
        </w:rPr>
        <w:t>AdSCs</w:t>
      </w:r>
      <w:proofErr w:type="spellEnd"/>
      <w:r w:rsidRPr="00DF1F3B">
        <w:rPr>
          <w:rFonts w:asciiTheme="majorBidi" w:hAnsiTheme="majorBidi" w:cstheme="majorBidi"/>
        </w:rPr>
        <w:t>. The isolated tissue was placed on ice under sterile condition and transferred to stem cell laboratory of Stem Cell Technology Research Center of Shiraz University of Medical Sciences, Shiraz, Iran. Briefly, adipose tissue was minced into tiny segments and was treated with 0.2% collagenase type II (</w:t>
      </w:r>
      <w:proofErr w:type="spellStart"/>
      <w:r w:rsidRPr="00DF1F3B">
        <w:rPr>
          <w:rFonts w:asciiTheme="majorBidi" w:hAnsiTheme="majorBidi" w:cstheme="majorBidi"/>
        </w:rPr>
        <w:t>Gibco</w:t>
      </w:r>
      <w:proofErr w:type="spellEnd"/>
      <w:r w:rsidRPr="00DF1F3B">
        <w:rPr>
          <w:rFonts w:asciiTheme="majorBidi" w:hAnsiTheme="majorBidi" w:cstheme="majorBidi"/>
        </w:rPr>
        <w:t xml:space="preserve">, U.S.A.) for 40 min at 37°C, while shaken. The lysed tissue was centrifuged at 1500 rpm for 5 min. The precipitate was suspended in 2 mL of Dulbecco’s Modified Eagles Medium (DMEM; </w:t>
      </w:r>
      <w:proofErr w:type="spellStart"/>
      <w:r w:rsidRPr="00DF1F3B">
        <w:rPr>
          <w:rFonts w:asciiTheme="majorBidi" w:hAnsiTheme="majorBidi" w:cstheme="majorBidi"/>
        </w:rPr>
        <w:t>Gibco</w:t>
      </w:r>
      <w:proofErr w:type="spellEnd"/>
      <w:r w:rsidRPr="00DF1F3B">
        <w:rPr>
          <w:rFonts w:asciiTheme="majorBidi" w:hAnsiTheme="majorBidi" w:cstheme="majorBidi"/>
        </w:rPr>
        <w:t xml:space="preserve">, USA) in culture flasks containing 3 mL DMEM supplemented with 10% fetal bovine serum (FBS, </w:t>
      </w:r>
      <w:proofErr w:type="spellStart"/>
      <w:r w:rsidRPr="00DF1F3B">
        <w:rPr>
          <w:rFonts w:asciiTheme="majorBidi" w:hAnsiTheme="majorBidi" w:cstheme="majorBidi"/>
        </w:rPr>
        <w:t>Gibco</w:t>
      </w:r>
      <w:proofErr w:type="spellEnd"/>
      <w:r w:rsidRPr="00DF1F3B">
        <w:rPr>
          <w:rFonts w:asciiTheme="majorBidi" w:hAnsiTheme="majorBidi" w:cstheme="majorBidi"/>
        </w:rPr>
        <w:t xml:space="preserve">, USA), 1% penicillin and 1% streptomycin (Sigma, USA) and 2 </w:t>
      </w:r>
      <w:proofErr w:type="spellStart"/>
      <w:r w:rsidRPr="00DF1F3B">
        <w:rPr>
          <w:rFonts w:asciiTheme="majorBidi" w:hAnsiTheme="majorBidi" w:cstheme="majorBidi"/>
        </w:rPr>
        <w:t>mM</w:t>
      </w:r>
      <w:proofErr w:type="spellEnd"/>
      <w:r w:rsidRPr="00DF1F3B">
        <w:rPr>
          <w:rFonts w:asciiTheme="majorBidi" w:hAnsiTheme="majorBidi" w:cstheme="majorBidi"/>
        </w:rPr>
        <w:t xml:space="preserve"> L-glutamine (Invitrogen, Netherlands) and were put in an incubator containing 5% CO</w:t>
      </w:r>
      <w:r w:rsidRPr="00DF1F3B">
        <w:rPr>
          <w:rFonts w:asciiTheme="majorBidi" w:hAnsiTheme="majorBidi" w:cstheme="majorBidi"/>
          <w:vertAlign w:val="subscript"/>
        </w:rPr>
        <w:t>2</w:t>
      </w:r>
      <w:r w:rsidRPr="00DF1F3B">
        <w:rPr>
          <w:rFonts w:asciiTheme="majorBidi" w:hAnsiTheme="majorBidi" w:cstheme="majorBidi"/>
        </w:rPr>
        <w:t xml:space="preserve"> at 37°C and saturated humidity. After 3 days, the media was refreshed to reach 85% confluence. The cells were later sub-cultured until passage 4</w:t>
      </w:r>
      <w:r w:rsidRPr="00DF1F3B">
        <w:rPr>
          <w:rFonts w:asciiTheme="majorBidi" w:hAnsiTheme="majorBidi" w:cstheme="majorBidi"/>
          <w:vertAlign w:val="superscript"/>
        </w:rPr>
        <w:t xml:space="preserve">th </w:t>
      </w:r>
      <w:r w:rsidRPr="00DF1F3B">
        <w:rPr>
          <w:rFonts w:asciiTheme="majorBidi" w:hAnsiTheme="majorBidi" w:cstheme="majorBidi"/>
        </w:rPr>
        <w:t>using 0.25% trypsin (</w:t>
      </w:r>
      <w:proofErr w:type="spellStart"/>
      <w:r w:rsidRPr="00DF1F3B">
        <w:rPr>
          <w:rFonts w:asciiTheme="majorBidi" w:hAnsiTheme="majorBidi" w:cstheme="majorBidi"/>
        </w:rPr>
        <w:t>Gibco</w:t>
      </w:r>
      <w:proofErr w:type="spellEnd"/>
      <w:r w:rsidRPr="00DF1F3B">
        <w:rPr>
          <w:rFonts w:asciiTheme="majorBidi" w:hAnsiTheme="majorBidi" w:cstheme="majorBidi"/>
        </w:rPr>
        <w:t xml:space="preserve">, USA), while they were later inactivated by adding equal volume of DMEM. </w:t>
      </w:r>
    </w:p>
    <w:p w:rsidR="00BD26BC" w:rsidRPr="00DF1F3B" w:rsidRDefault="00BD26BC" w:rsidP="00BD26BC">
      <w:pPr>
        <w:autoSpaceDE w:val="0"/>
        <w:autoSpaceDN w:val="0"/>
        <w:adjustRightInd w:val="0"/>
        <w:spacing w:after="0" w:line="480" w:lineRule="auto"/>
        <w:rPr>
          <w:rFonts w:asciiTheme="majorBidi" w:hAnsiTheme="majorBidi" w:cstheme="majorBidi"/>
        </w:rPr>
      </w:pPr>
      <w:r w:rsidRPr="00DF1F3B">
        <w:rPr>
          <w:rFonts w:asciiTheme="majorBidi" w:hAnsiTheme="majorBidi" w:cstheme="majorBidi"/>
        </w:rPr>
        <w:t xml:space="preserve">The isolated </w:t>
      </w:r>
      <w:proofErr w:type="spellStart"/>
      <w:r w:rsidRPr="00DF1F3B">
        <w:rPr>
          <w:rFonts w:asciiTheme="majorBidi" w:hAnsiTheme="majorBidi" w:cstheme="majorBidi"/>
        </w:rPr>
        <w:t>AdSCs</w:t>
      </w:r>
      <w:proofErr w:type="spellEnd"/>
      <w:r w:rsidRPr="00DF1F3B">
        <w:rPr>
          <w:rFonts w:asciiTheme="majorBidi" w:hAnsiTheme="majorBidi" w:cstheme="majorBidi"/>
        </w:rPr>
        <w:t xml:space="preserve"> in passage 4</w:t>
      </w:r>
      <w:r w:rsidRPr="00DF1F3B">
        <w:rPr>
          <w:rFonts w:asciiTheme="majorBidi" w:hAnsiTheme="majorBidi" w:cstheme="majorBidi"/>
          <w:vertAlign w:val="superscript"/>
        </w:rPr>
        <w:t>th</w:t>
      </w:r>
      <w:r w:rsidRPr="00DF1F3B">
        <w:rPr>
          <w:rFonts w:asciiTheme="majorBidi" w:hAnsiTheme="majorBidi" w:cstheme="majorBidi"/>
        </w:rPr>
        <w:t xml:space="preserve"> were later cryopreserved to be used for future cell transplantation purposes using 2×10</w:t>
      </w:r>
      <w:r w:rsidRPr="00DF1F3B">
        <w:rPr>
          <w:rFonts w:asciiTheme="majorBidi" w:hAnsiTheme="majorBidi" w:cstheme="majorBidi"/>
          <w:vertAlign w:val="superscript"/>
        </w:rPr>
        <w:t>6</w:t>
      </w:r>
      <w:r w:rsidRPr="00DF1F3B">
        <w:rPr>
          <w:rFonts w:asciiTheme="majorBidi" w:hAnsiTheme="majorBidi" w:cstheme="majorBidi"/>
        </w:rPr>
        <w:t xml:space="preserve"> viable cells/mL in 50% DMEM media, 40% FBS, and 10% dimethyl </w:t>
      </w:r>
      <w:proofErr w:type="spellStart"/>
      <w:r w:rsidRPr="00DF1F3B">
        <w:rPr>
          <w:rFonts w:asciiTheme="majorBidi" w:hAnsiTheme="majorBidi" w:cstheme="majorBidi"/>
        </w:rPr>
        <w:t>sulfoxide</w:t>
      </w:r>
      <w:proofErr w:type="spellEnd"/>
      <w:r w:rsidRPr="00DF1F3B">
        <w:rPr>
          <w:rFonts w:asciiTheme="majorBidi" w:hAnsiTheme="majorBidi" w:cstheme="majorBidi"/>
        </w:rPr>
        <w:t xml:space="preserve"> (DMSO; MP Bio) in sterile labeled </w:t>
      </w:r>
      <w:proofErr w:type="spellStart"/>
      <w:r w:rsidRPr="00DF1F3B">
        <w:rPr>
          <w:rFonts w:asciiTheme="majorBidi" w:hAnsiTheme="majorBidi" w:cstheme="majorBidi"/>
        </w:rPr>
        <w:t>cryovials</w:t>
      </w:r>
      <w:proofErr w:type="spellEnd"/>
      <w:r w:rsidRPr="00DF1F3B">
        <w:rPr>
          <w:rFonts w:asciiTheme="majorBidi" w:hAnsiTheme="majorBidi" w:cstheme="majorBidi"/>
        </w:rPr>
        <w:t xml:space="preserve"> and kept in a nitrogen tank. To prepare for cell transplantation, they were taken out from nitrogen tank and transferred into a 37°C water bath for thawing. Centrifugation was carried out for 5 min at 1500 rpm and the cell pellet was re-suspended in DMEM and placed in a CO</w:t>
      </w:r>
      <w:r w:rsidRPr="00DF1F3B">
        <w:rPr>
          <w:rFonts w:asciiTheme="majorBidi" w:hAnsiTheme="majorBidi" w:cstheme="majorBidi"/>
          <w:vertAlign w:val="subscript"/>
        </w:rPr>
        <w:t>2</w:t>
      </w:r>
      <w:r w:rsidRPr="00DF1F3B">
        <w:rPr>
          <w:rFonts w:asciiTheme="majorBidi" w:hAnsiTheme="majorBidi" w:cstheme="majorBidi"/>
        </w:rPr>
        <w:t xml:space="preserve"> incubator at 37°C and saturated humidity until use.</w:t>
      </w:r>
    </w:p>
    <w:p w:rsidR="00BD26BC" w:rsidRPr="00DF1F3B" w:rsidRDefault="00BD26BC" w:rsidP="00BD26BC">
      <w:pPr>
        <w:autoSpaceDE w:val="0"/>
        <w:autoSpaceDN w:val="0"/>
        <w:adjustRightInd w:val="0"/>
        <w:spacing w:after="0" w:line="480" w:lineRule="auto"/>
        <w:rPr>
          <w:rFonts w:asciiTheme="majorBidi" w:hAnsiTheme="majorBidi" w:cstheme="majorBidi"/>
          <w:b/>
          <w:bCs/>
        </w:rPr>
      </w:pPr>
      <w:r w:rsidRPr="00DF1F3B">
        <w:rPr>
          <w:rFonts w:asciiTheme="majorBidi" w:hAnsiTheme="majorBidi" w:cstheme="majorBidi"/>
          <w:b/>
          <w:bCs/>
        </w:rPr>
        <w:t xml:space="preserve">Characterization of </w:t>
      </w:r>
      <w:proofErr w:type="spellStart"/>
      <w:r w:rsidRPr="00DF1F3B">
        <w:rPr>
          <w:rFonts w:asciiTheme="majorBidi" w:hAnsiTheme="majorBidi" w:cstheme="majorBidi"/>
          <w:b/>
          <w:bCs/>
        </w:rPr>
        <w:t>AdSCs</w:t>
      </w:r>
      <w:proofErr w:type="spellEnd"/>
      <w:r w:rsidRPr="00DF1F3B">
        <w:rPr>
          <w:rFonts w:asciiTheme="majorBidi" w:hAnsiTheme="majorBidi" w:cstheme="majorBidi"/>
          <w:b/>
          <w:bCs/>
        </w:rPr>
        <w:t xml:space="preserve"> by Morphology</w:t>
      </w:r>
    </w:p>
    <w:p w:rsidR="00BD26BC" w:rsidRPr="00DF1F3B" w:rsidRDefault="00BD26BC" w:rsidP="00BD26BC">
      <w:pPr>
        <w:autoSpaceDE w:val="0"/>
        <w:autoSpaceDN w:val="0"/>
        <w:adjustRightInd w:val="0"/>
        <w:spacing w:after="0" w:line="480" w:lineRule="auto"/>
        <w:rPr>
          <w:rFonts w:asciiTheme="majorBidi" w:hAnsiTheme="majorBidi" w:cstheme="majorBidi"/>
        </w:rPr>
      </w:pPr>
      <w:proofErr w:type="spellStart"/>
      <w:r w:rsidRPr="00DF1F3B">
        <w:rPr>
          <w:rFonts w:asciiTheme="majorBidi" w:hAnsiTheme="majorBidi" w:cstheme="majorBidi"/>
        </w:rPr>
        <w:t>AdSCs</w:t>
      </w:r>
      <w:proofErr w:type="spellEnd"/>
      <w:r w:rsidRPr="00DF1F3B">
        <w:rPr>
          <w:rFonts w:asciiTheme="majorBidi" w:hAnsiTheme="majorBidi" w:cstheme="majorBidi"/>
        </w:rPr>
        <w:t xml:space="preserve"> were assessed to be morphologically spindle shape. </w:t>
      </w:r>
    </w:p>
    <w:p w:rsidR="00BD26BC" w:rsidRPr="00DF1F3B" w:rsidRDefault="00BD26BC" w:rsidP="00BD26BC">
      <w:pPr>
        <w:autoSpaceDE w:val="0"/>
        <w:autoSpaceDN w:val="0"/>
        <w:adjustRightInd w:val="0"/>
        <w:spacing w:after="0" w:line="480" w:lineRule="auto"/>
        <w:rPr>
          <w:rFonts w:asciiTheme="majorBidi" w:hAnsiTheme="majorBidi" w:cstheme="majorBidi"/>
          <w:b/>
          <w:bCs/>
        </w:rPr>
      </w:pPr>
      <w:r w:rsidRPr="00DF1F3B">
        <w:rPr>
          <w:rFonts w:asciiTheme="majorBidi" w:hAnsiTheme="majorBidi" w:cstheme="majorBidi"/>
          <w:b/>
          <w:bCs/>
        </w:rPr>
        <w:t xml:space="preserve">Characterization by </w:t>
      </w:r>
      <w:proofErr w:type="spellStart"/>
      <w:r w:rsidRPr="00DF1F3B">
        <w:rPr>
          <w:rFonts w:asciiTheme="majorBidi" w:hAnsiTheme="majorBidi" w:cstheme="majorBidi"/>
          <w:b/>
          <w:bCs/>
        </w:rPr>
        <w:t>Osteogenic</w:t>
      </w:r>
      <w:proofErr w:type="spellEnd"/>
      <w:r w:rsidRPr="00DF1F3B">
        <w:rPr>
          <w:rFonts w:asciiTheme="majorBidi" w:hAnsiTheme="majorBidi" w:cstheme="majorBidi"/>
          <w:b/>
          <w:bCs/>
        </w:rPr>
        <w:t xml:space="preserve"> Induction</w:t>
      </w:r>
    </w:p>
    <w:p w:rsidR="00BD26BC" w:rsidRPr="00DF1F3B" w:rsidRDefault="00BD26BC" w:rsidP="00BD26BC">
      <w:pPr>
        <w:autoSpaceDE w:val="0"/>
        <w:autoSpaceDN w:val="0"/>
        <w:adjustRightInd w:val="0"/>
        <w:spacing w:after="0" w:line="480" w:lineRule="auto"/>
        <w:rPr>
          <w:rFonts w:asciiTheme="majorBidi" w:hAnsiTheme="majorBidi" w:cstheme="majorBidi"/>
        </w:rPr>
      </w:pPr>
      <w:r w:rsidRPr="00DF1F3B">
        <w:rPr>
          <w:rFonts w:asciiTheme="majorBidi" w:hAnsiTheme="majorBidi" w:cstheme="majorBidi"/>
        </w:rPr>
        <w:t>Approximately 5×10</w:t>
      </w:r>
      <w:r w:rsidRPr="00DF1F3B">
        <w:rPr>
          <w:rFonts w:asciiTheme="majorBidi" w:hAnsiTheme="majorBidi" w:cstheme="majorBidi"/>
          <w:vertAlign w:val="superscript"/>
        </w:rPr>
        <w:t>4</w:t>
      </w:r>
      <w:r w:rsidRPr="00DF1F3B">
        <w:rPr>
          <w:rFonts w:asciiTheme="majorBidi" w:hAnsiTheme="majorBidi" w:cstheme="majorBidi"/>
        </w:rPr>
        <w:t xml:space="preserve"> </w:t>
      </w:r>
      <w:proofErr w:type="spellStart"/>
      <w:r w:rsidRPr="00DF1F3B">
        <w:rPr>
          <w:rFonts w:asciiTheme="majorBidi" w:hAnsiTheme="majorBidi" w:cstheme="majorBidi"/>
        </w:rPr>
        <w:t>AdSCs</w:t>
      </w:r>
      <w:proofErr w:type="spellEnd"/>
      <w:r w:rsidRPr="00DF1F3B">
        <w:rPr>
          <w:rFonts w:asciiTheme="majorBidi" w:hAnsiTheme="majorBidi" w:cstheme="majorBidi"/>
        </w:rPr>
        <w:t xml:space="preserve"> were transferred into 6-well plates, while the media was refreshed with </w:t>
      </w:r>
      <w:proofErr w:type="spellStart"/>
      <w:r w:rsidRPr="00DF1F3B">
        <w:rPr>
          <w:rFonts w:asciiTheme="majorBidi" w:hAnsiTheme="majorBidi" w:cstheme="majorBidi"/>
        </w:rPr>
        <w:t>osteogenic</w:t>
      </w:r>
      <w:proofErr w:type="spellEnd"/>
      <w:r w:rsidRPr="00DF1F3B">
        <w:rPr>
          <w:rFonts w:asciiTheme="majorBidi" w:hAnsiTheme="majorBidi" w:cstheme="majorBidi"/>
        </w:rPr>
        <w:t xml:space="preserve"> medium at 90% confluence containing the culture media supplemented with 15% FBS, 100 </w:t>
      </w:r>
      <w:proofErr w:type="spellStart"/>
      <w:r w:rsidRPr="00DF1F3B">
        <w:rPr>
          <w:rFonts w:asciiTheme="majorBidi" w:hAnsiTheme="majorBidi" w:cstheme="majorBidi"/>
        </w:rPr>
        <w:t>nM</w:t>
      </w:r>
      <w:proofErr w:type="spellEnd"/>
      <w:r w:rsidRPr="00DF1F3B">
        <w:rPr>
          <w:rFonts w:asciiTheme="majorBidi" w:hAnsiTheme="majorBidi" w:cstheme="majorBidi"/>
        </w:rPr>
        <w:t xml:space="preserve"> dexamethasone (Sigma-Aldrich, USA), 50 µM ascorbic acid (Merck, Germany), and 10 </w:t>
      </w:r>
      <w:proofErr w:type="spellStart"/>
      <w:r w:rsidRPr="00DF1F3B">
        <w:rPr>
          <w:rFonts w:asciiTheme="majorBidi" w:hAnsiTheme="majorBidi" w:cstheme="majorBidi"/>
        </w:rPr>
        <w:t>mM</w:t>
      </w:r>
      <w:proofErr w:type="spellEnd"/>
      <w:r w:rsidRPr="00DF1F3B">
        <w:rPr>
          <w:rFonts w:asciiTheme="majorBidi" w:hAnsiTheme="majorBidi" w:cstheme="majorBidi"/>
        </w:rPr>
        <w:t xml:space="preserve"> glycerol 3-phosohate (Merck, Germany) for 21 days. The media change was done every 3 days and after 21 days, 10% formalin was added for 20 min to fix the cells. After 3 washes with deionized water, the </w:t>
      </w:r>
      <w:r w:rsidRPr="00DF1F3B">
        <w:rPr>
          <w:rFonts w:asciiTheme="majorBidi" w:hAnsiTheme="majorBidi" w:cstheme="majorBidi"/>
        </w:rPr>
        <w:lastRenderedPageBreak/>
        <w:t>differentiation was assessed by alizarin red staining (Sigma-Aldrich, USA) bound to calcium mineralized deposits and revealed a red color.</w:t>
      </w:r>
    </w:p>
    <w:p w:rsidR="00BD26BC" w:rsidRPr="00DF1F3B" w:rsidRDefault="00BD26BC" w:rsidP="00BD26BC">
      <w:pPr>
        <w:autoSpaceDE w:val="0"/>
        <w:autoSpaceDN w:val="0"/>
        <w:adjustRightInd w:val="0"/>
        <w:spacing w:after="0" w:line="480" w:lineRule="auto"/>
        <w:rPr>
          <w:rFonts w:asciiTheme="majorBidi" w:hAnsiTheme="majorBidi" w:cstheme="majorBidi"/>
          <w:b/>
          <w:bCs/>
        </w:rPr>
      </w:pPr>
      <w:r w:rsidRPr="00DF1F3B">
        <w:rPr>
          <w:rFonts w:asciiTheme="majorBidi" w:hAnsiTheme="majorBidi" w:cstheme="majorBidi"/>
          <w:b/>
          <w:bCs/>
        </w:rPr>
        <w:t xml:space="preserve">Characterization by </w:t>
      </w:r>
      <w:proofErr w:type="spellStart"/>
      <w:r w:rsidRPr="00DF1F3B">
        <w:rPr>
          <w:rFonts w:asciiTheme="majorBidi" w:hAnsiTheme="majorBidi" w:cstheme="majorBidi"/>
          <w:b/>
          <w:bCs/>
        </w:rPr>
        <w:t>Adipogenic</w:t>
      </w:r>
      <w:proofErr w:type="spellEnd"/>
      <w:r w:rsidRPr="00DF1F3B">
        <w:rPr>
          <w:rFonts w:asciiTheme="majorBidi" w:hAnsiTheme="majorBidi" w:cstheme="majorBidi"/>
          <w:b/>
          <w:bCs/>
        </w:rPr>
        <w:t xml:space="preserve"> Induction</w:t>
      </w:r>
    </w:p>
    <w:p w:rsidR="00BD26BC" w:rsidRPr="00DF1F3B" w:rsidRDefault="00BD26BC" w:rsidP="00BD26BC">
      <w:pPr>
        <w:autoSpaceDE w:val="0"/>
        <w:autoSpaceDN w:val="0"/>
        <w:adjustRightInd w:val="0"/>
        <w:spacing w:after="0" w:line="480" w:lineRule="auto"/>
        <w:rPr>
          <w:rFonts w:asciiTheme="majorBidi" w:hAnsiTheme="majorBidi" w:cstheme="majorBidi"/>
        </w:rPr>
      </w:pPr>
      <w:r w:rsidRPr="00DF1F3B">
        <w:rPr>
          <w:rFonts w:asciiTheme="majorBidi" w:hAnsiTheme="majorBidi" w:cstheme="majorBidi"/>
        </w:rPr>
        <w:t>Around 5×10</w:t>
      </w:r>
      <w:r w:rsidRPr="00DF1F3B">
        <w:rPr>
          <w:rFonts w:asciiTheme="majorBidi" w:hAnsiTheme="majorBidi" w:cstheme="majorBidi"/>
          <w:vertAlign w:val="superscript"/>
        </w:rPr>
        <w:t>4</w:t>
      </w:r>
      <w:r w:rsidRPr="00DF1F3B">
        <w:rPr>
          <w:rFonts w:asciiTheme="majorBidi" w:hAnsiTheme="majorBidi" w:cstheme="majorBidi"/>
        </w:rPr>
        <w:t xml:space="preserve"> </w:t>
      </w:r>
      <w:proofErr w:type="spellStart"/>
      <w:r w:rsidRPr="00DF1F3B">
        <w:rPr>
          <w:rFonts w:asciiTheme="majorBidi" w:hAnsiTheme="majorBidi" w:cstheme="majorBidi"/>
        </w:rPr>
        <w:t>AdSCs</w:t>
      </w:r>
      <w:proofErr w:type="spellEnd"/>
      <w:r w:rsidRPr="00DF1F3B">
        <w:rPr>
          <w:rFonts w:asciiTheme="majorBidi" w:hAnsiTheme="majorBidi" w:cstheme="majorBidi"/>
        </w:rPr>
        <w:t xml:space="preserve"> were seeded in 6-well plates, while media change happened with </w:t>
      </w:r>
      <w:proofErr w:type="spellStart"/>
      <w:r w:rsidRPr="00DF1F3B">
        <w:rPr>
          <w:rFonts w:asciiTheme="majorBidi" w:hAnsiTheme="majorBidi" w:cstheme="majorBidi"/>
        </w:rPr>
        <w:t>adipogenic</w:t>
      </w:r>
      <w:proofErr w:type="spellEnd"/>
      <w:r w:rsidRPr="00DF1F3B">
        <w:rPr>
          <w:rFonts w:asciiTheme="majorBidi" w:hAnsiTheme="majorBidi" w:cstheme="majorBidi"/>
        </w:rPr>
        <w:t xml:space="preserve"> medium at 90% confluence using culture media supplemented with 15% FBS, 100 </w:t>
      </w:r>
      <w:proofErr w:type="spellStart"/>
      <w:r w:rsidRPr="00DF1F3B">
        <w:rPr>
          <w:rFonts w:asciiTheme="majorBidi" w:hAnsiTheme="majorBidi" w:cstheme="majorBidi"/>
        </w:rPr>
        <w:t>nM</w:t>
      </w:r>
      <w:proofErr w:type="spellEnd"/>
      <w:r w:rsidRPr="00DF1F3B">
        <w:rPr>
          <w:rFonts w:asciiTheme="majorBidi" w:hAnsiTheme="majorBidi" w:cstheme="majorBidi"/>
        </w:rPr>
        <w:t xml:space="preserve"> dexamethasone, 100 µM ascorbic acid, and 200 µM indomethacin (Sigma-Aldrich, USA) for 21 days. After 3 weeks, 10% formalin was added for 20 min to fix the cells and after 3 washes with deionized water, fresh 0.5% Oil Red-O dye (Sigma-Aldrich, USA) dissolved in 2-propanol solution (Merck, Germany) for 2 h was added for staining of differentiated cells. Oil red O staining reveals red color droplets when </w:t>
      </w:r>
      <w:proofErr w:type="spellStart"/>
      <w:r w:rsidRPr="00DF1F3B">
        <w:rPr>
          <w:rFonts w:asciiTheme="majorBidi" w:hAnsiTheme="majorBidi" w:cstheme="majorBidi"/>
        </w:rPr>
        <w:t>adipogenic</w:t>
      </w:r>
      <w:proofErr w:type="spellEnd"/>
      <w:r w:rsidRPr="00DF1F3B">
        <w:rPr>
          <w:rFonts w:asciiTheme="majorBidi" w:hAnsiTheme="majorBidi" w:cstheme="majorBidi"/>
        </w:rPr>
        <w:t xml:space="preserve"> induction is positive. </w:t>
      </w:r>
    </w:p>
    <w:p w:rsidR="00BD26BC" w:rsidRPr="00DF1F3B" w:rsidRDefault="00BD26BC" w:rsidP="00BD26BC">
      <w:pPr>
        <w:autoSpaceDE w:val="0"/>
        <w:autoSpaceDN w:val="0"/>
        <w:adjustRightInd w:val="0"/>
        <w:spacing w:after="0" w:line="480" w:lineRule="auto"/>
        <w:rPr>
          <w:rFonts w:asciiTheme="majorBidi" w:hAnsiTheme="majorBidi" w:cstheme="majorBidi"/>
          <w:b/>
          <w:bCs/>
        </w:rPr>
      </w:pPr>
      <w:r w:rsidRPr="00DF1F3B">
        <w:rPr>
          <w:rFonts w:asciiTheme="majorBidi" w:hAnsiTheme="majorBidi" w:cstheme="majorBidi"/>
          <w:b/>
          <w:bCs/>
        </w:rPr>
        <w:t xml:space="preserve">Characterization of </w:t>
      </w:r>
      <w:proofErr w:type="spellStart"/>
      <w:r w:rsidRPr="00DF1F3B">
        <w:rPr>
          <w:rFonts w:asciiTheme="majorBidi" w:hAnsiTheme="majorBidi" w:cstheme="majorBidi"/>
          <w:b/>
          <w:bCs/>
        </w:rPr>
        <w:t>AdSCs</w:t>
      </w:r>
      <w:proofErr w:type="spellEnd"/>
      <w:r w:rsidRPr="00DF1F3B">
        <w:rPr>
          <w:rFonts w:asciiTheme="majorBidi" w:hAnsiTheme="majorBidi" w:cstheme="majorBidi"/>
          <w:b/>
          <w:bCs/>
        </w:rPr>
        <w:t xml:space="preserve"> by Flow </w:t>
      </w:r>
      <w:proofErr w:type="spellStart"/>
      <w:r w:rsidRPr="00DF1F3B">
        <w:rPr>
          <w:rFonts w:asciiTheme="majorBidi" w:hAnsiTheme="majorBidi" w:cstheme="majorBidi"/>
          <w:b/>
          <w:bCs/>
        </w:rPr>
        <w:t>Cytometry</w:t>
      </w:r>
      <w:proofErr w:type="spellEnd"/>
    </w:p>
    <w:p w:rsidR="00BD26BC" w:rsidRPr="00DF1F3B" w:rsidRDefault="00BD26BC" w:rsidP="00BD26BC">
      <w:pPr>
        <w:autoSpaceDE w:val="0"/>
        <w:autoSpaceDN w:val="0"/>
        <w:adjustRightInd w:val="0"/>
        <w:spacing w:after="0" w:line="480" w:lineRule="auto"/>
        <w:rPr>
          <w:rFonts w:asciiTheme="majorBidi" w:hAnsiTheme="majorBidi" w:cstheme="majorBidi"/>
        </w:rPr>
      </w:pPr>
      <w:r w:rsidRPr="00DF1F3B">
        <w:rPr>
          <w:rFonts w:asciiTheme="majorBidi" w:hAnsiTheme="majorBidi" w:cstheme="majorBidi"/>
        </w:rPr>
        <w:t>CD73 and CD90 (</w:t>
      </w:r>
      <w:proofErr w:type="spellStart"/>
      <w:r w:rsidRPr="00DF1F3B">
        <w:rPr>
          <w:rFonts w:asciiTheme="majorBidi" w:hAnsiTheme="majorBidi" w:cstheme="majorBidi"/>
        </w:rPr>
        <w:t>Dako</w:t>
      </w:r>
      <w:proofErr w:type="spellEnd"/>
      <w:r w:rsidRPr="00DF1F3B">
        <w:rPr>
          <w:rFonts w:asciiTheme="majorBidi" w:hAnsiTheme="majorBidi" w:cstheme="majorBidi"/>
        </w:rPr>
        <w:t xml:space="preserve">, Denmark) were used to confirm the positive expression of </w:t>
      </w:r>
      <w:proofErr w:type="spellStart"/>
      <w:r w:rsidRPr="00DF1F3B">
        <w:rPr>
          <w:rFonts w:asciiTheme="majorBidi" w:hAnsiTheme="majorBidi" w:cstheme="majorBidi"/>
        </w:rPr>
        <w:t>mesenchymal</w:t>
      </w:r>
      <w:proofErr w:type="spellEnd"/>
      <w:r w:rsidRPr="00DF1F3B">
        <w:rPr>
          <w:rFonts w:asciiTheme="majorBidi" w:hAnsiTheme="majorBidi" w:cstheme="majorBidi"/>
        </w:rPr>
        <w:t xml:space="preserve"> surface markers and CD34 and CD45 (</w:t>
      </w:r>
      <w:proofErr w:type="spellStart"/>
      <w:r w:rsidRPr="00DF1F3B">
        <w:rPr>
          <w:rFonts w:asciiTheme="majorBidi" w:hAnsiTheme="majorBidi" w:cstheme="majorBidi"/>
        </w:rPr>
        <w:t>Dako</w:t>
      </w:r>
      <w:proofErr w:type="spellEnd"/>
      <w:r w:rsidRPr="00DF1F3B">
        <w:rPr>
          <w:rFonts w:asciiTheme="majorBidi" w:hAnsiTheme="majorBidi" w:cstheme="majorBidi"/>
        </w:rPr>
        <w:t>, Denmark) to verify the absence of hematopoietic surface markers.</w:t>
      </w:r>
    </w:p>
    <w:p w:rsidR="00BD26BC" w:rsidRPr="00DF1F3B" w:rsidRDefault="00BD26BC" w:rsidP="00BD26BC">
      <w:pPr>
        <w:autoSpaceDE w:val="0"/>
        <w:autoSpaceDN w:val="0"/>
        <w:adjustRightInd w:val="0"/>
        <w:spacing w:after="0" w:line="480" w:lineRule="auto"/>
        <w:rPr>
          <w:rFonts w:asciiTheme="majorBidi" w:hAnsiTheme="majorBidi" w:cstheme="majorBidi"/>
          <w:b/>
          <w:bCs/>
        </w:rPr>
      </w:pPr>
      <w:r w:rsidRPr="00DF1F3B">
        <w:rPr>
          <w:rFonts w:asciiTheme="majorBidi" w:hAnsiTheme="majorBidi" w:cstheme="majorBidi"/>
          <w:b/>
          <w:bCs/>
        </w:rPr>
        <w:t>Histological Evaluation</w:t>
      </w:r>
    </w:p>
    <w:p w:rsidR="00BD26BC" w:rsidRPr="00DF1F3B" w:rsidRDefault="00BD26BC" w:rsidP="00BD26BC">
      <w:pPr>
        <w:autoSpaceDE w:val="0"/>
        <w:autoSpaceDN w:val="0"/>
        <w:adjustRightInd w:val="0"/>
        <w:spacing w:after="0" w:line="480" w:lineRule="auto"/>
        <w:rPr>
          <w:rFonts w:asciiTheme="majorBidi" w:hAnsiTheme="majorBidi" w:cstheme="majorBidi"/>
        </w:rPr>
      </w:pPr>
      <w:r w:rsidRPr="00DF1F3B">
        <w:rPr>
          <w:rFonts w:asciiTheme="majorBidi" w:hAnsiTheme="majorBidi" w:cstheme="majorBidi"/>
        </w:rPr>
        <w:t xml:space="preserve">The removed colonic tissue provided from animals was transferred into 10% buffered formaldehyde for 72 h. Then, dehydration was done by cold ethanol, and clearing was undertaken using cold xylene. The tissue samples were later embedded in paraffin at 53°C and a 5-µm thickness tissue section was prepared serially, dried at 37°C for an hour and stained by </w:t>
      </w:r>
      <w:proofErr w:type="spellStart"/>
      <w:r w:rsidRPr="00DF1F3B">
        <w:rPr>
          <w:rFonts w:asciiTheme="majorBidi" w:hAnsiTheme="majorBidi" w:cstheme="majorBidi"/>
        </w:rPr>
        <w:t>hematoxylin</w:t>
      </w:r>
      <w:proofErr w:type="spellEnd"/>
      <w:r w:rsidRPr="00DF1F3B">
        <w:rPr>
          <w:rFonts w:asciiTheme="majorBidi" w:hAnsiTheme="majorBidi" w:cstheme="majorBidi"/>
        </w:rPr>
        <w:t xml:space="preserve"> and eosin (H&amp;E). All slides were visualized under a light microscope and photography was undertaken. </w:t>
      </w:r>
    </w:p>
    <w:p w:rsidR="00BD26BC" w:rsidRPr="00DF1F3B" w:rsidRDefault="00BD26BC" w:rsidP="00BD26BC">
      <w:pPr>
        <w:autoSpaceDE w:val="0"/>
        <w:autoSpaceDN w:val="0"/>
        <w:adjustRightInd w:val="0"/>
        <w:spacing w:after="0" w:line="480" w:lineRule="auto"/>
        <w:rPr>
          <w:rFonts w:asciiTheme="majorBidi" w:hAnsiTheme="majorBidi" w:cstheme="majorBidi"/>
          <w:b/>
          <w:bCs/>
        </w:rPr>
      </w:pPr>
      <w:r w:rsidRPr="00DF1F3B">
        <w:rPr>
          <w:rFonts w:asciiTheme="majorBidi" w:hAnsiTheme="majorBidi" w:cstheme="majorBidi"/>
          <w:b/>
          <w:bCs/>
        </w:rPr>
        <w:t xml:space="preserve">RNA Extraction of </w:t>
      </w:r>
      <w:proofErr w:type="spellStart"/>
      <w:r w:rsidRPr="00DF1F3B">
        <w:rPr>
          <w:rFonts w:asciiTheme="majorBidi" w:hAnsiTheme="majorBidi" w:cstheme="majorBidi"/>
          <w:b/>
          <w:bCs/>
        </w:rPr>
        <w:t>AdSCs</w:t>
      </w:r>
      <w:proofErr w:type="spellEnd"/>
    </w:p>
    <w:p w:rsidR="00BD26BC" w:rsidRPr="00DF1F3B" w:rsidRDefault="00BD26BC" w:rsidP="00BD26BC">
      <w:pPr>
        <w:autoSpaceDE w:val="0"/>
        <w:autoSpaceDN w:val="0"/>
        <w:adjustRightInd w:val="0"/>
        <w:spacing w:after="0" w:line="480" w:lineRule="auto"/>
        <w:rPr>
          <w:rFonts w:asciiTheme="majorBidi" w:hAnsiTheme="majorBidi" w:cstheme="majorBidi"/>
        </w:rPr>
      </w:pPr>
      <w:r w:rsidRPr="00DF1F3B">
        <w:rPr>
          <w:rFonts w:asciiTheme="majorBidi" w:hAnsiTheme="majorBidi" w:cstheme="majorBidi"/>
        </w:rPr>
        <w:t xml:space="preserve">RNA extraction of </w:t>
      </w:r>
      <w:proofErr w:type="spellStart"/>
      <w:r w:rsidRPr="00DF1F3B">
        <w:rPr>
          <w:rFonts w:asciiTheme="majorBidi" w:hAnsiTheme="majorBidi" w:cstheme="majorBidi"/>
        </w:rPr>
        <w:t>AdSCs</w:t>
      </w:r>
      <w:proofErr w:type="spellEnd"/>
      <w:r w:rsidRPr="00DF1F3B">
        <w:rPr>
          <w:rFonts w:asciiTheme="majorBidi" w:hAnsiTheme="majorBidi" w:cstheme="majorBidi"/>
        </w:rPr>
        <w:t xml:space="preserve"> was done using an RNA extraction kit (</w:t>
      </w:r>
      <w:proofErr w:type="spellStart"/>
      <w:r w:rsidRPr="00DF1F3B">
        <w:rPr>
          <w:rFonts w:asciiTheme="majorBidi" w:hAnsiTheme="majorBidi" w:cstheme="majorBidi"/>
        </w:rPr>
        <w:t>Cinna</w:t>
      </w:r>
      <w:proofErr w:type="spellEnd"/>
      <w:r w:rsidRPr="00DF1F3B">
        <w:rPr>
          <w:rFonts w:asciiTheme="majorBidi" w:hAnsiTheme="majorBidi" w:cstheme="majorBidi"/>
        </w:rPr>
        <w:t xml:space="preserve"> Gen Inc., Tehran, Iran). The RNA was assessed at optical density ratio of A260/A280 and A260/A230 using a </w:t>
      </w:r>
      <w:proofErr w:type="spellStart"/>
      <w:r w:rsidRPr="00DF1F3B">
        <w:rPr>
          <w:rFonts w:asciiTheme="majorBidi" w:hAnsiTheme="majorBidi" w:cstheme="majorBidi"/>
        </w:rPr>
        <w:t>Nanodrop</w:t>
      </w:r>
      <w:proofErr w:type="spellEnd"/>
      <w:r w:rsidRPr="00DF1F3B">
        <w:rPr>
          <w:rFonts w:asciiTheme="majorBidi" w:hAnsiTheme="majorBidi" w:cstheme="majorBidi"/>
        </w:rPr>
        <w:t xml:space="preserve"> spectrophotometer (</w:t>
      </w:r>
      <w:proofErr w:type="spellStart"/>
      <w:r w:rsidRPr="00DF1F3B">
        <w:rPr>
          <w:rFonts w:asciiTheme="majorBidi" w:hAnsiTheme="majorBidi" w:cstheme="majorBidi"/>
        </w:rPr>
        <w:t>Nanodrop</w:t>
      </w:r>
      <w:proofErr w:type="spellEnd"/>
      <w:r w:rsidRPr="00DF1F3B">
        <w:rPr>
          <w:rFonts w:asciiTheme="majorBidi" w:hAnsiTheme="majorBidi" w:cstheme="majorBidi"/>
        </w:rPr>
        <w:t xml:space="preserve">; Thermo Fisher </w:t>
      </w:r>
      <w:proofErr w:type="spellStart"/>
      <w:r w:rsidRPr="00DF1F3B">
        <w:rPr>
          <w:rFonts w:asciiTheme="majorBidi" w:hAnsiTheme="majorBidi" w:cstheme="majorBidi"/>
        </w:rPr>
        <w:t>Scientific</w:t>
      </w:r>
      <w:proofErr w:type="gramStart"/>
      <w:r w:rsidRPr="00DF1F3B">
        <w:rPr>
          <w:rFonts w:asciiTheme="majorBidi" w:hAnsiTheme="majorBidi" w:cstheme="majorBidi"/>
        </w:rPr>
        <w:t>,Waltham</w:t>
      </w:r>
      <w:proofErr w:type="spellEnd"/>
      <w:proofErr w:type="gramEnd"/>
      <w:r w:rsidRPr="00DF1F3B">
        <w:rPr>
          <w:rFonts w:asciiTheme="majorBidi" w:hAnsiTheme="majorBidi" w:cstheme="majorBidi"/>
        </w:rPr>
        <w:t xml:space="preserve">, USA). </w:t>
      </w:r>
      <w:proofErr w:type="spellStart"/>
      <w:proofErr w:type="gramStart"/>
      <w:r w:rsidRPr="00DF1F3B">
        <w:rPr>
          <w:rFonts w:asciiTheme="majorBidi" w:hAnsiTheme="majorBidi" w:cstheme="majorBidi"/>
        </w:rPr>
        <w:t>cDNA</w:t>
      </w:r>
      <w:proofErr w:type="spellEnd"/>
      <w:proofErr w:type="gramEnd"/>
      <w:r w:rsidRPr="00DF1F3B">
        <w:rPr>
          <w:rFonts w:asciiTheme="majorBidi" w:hAnsiTheme="majorBidi" w:cstheme="majorBidi"/>
        </w:rPr>
        <w:t xml:space="preserve"> was prepared using 1000 </w:t>
      </w:r>
      <w:proofErr w:type="spellStart"/>
      <w:r w:rsidRPr="00DF1F3B">
        <w:rPr>
          <w:rFonts w:asciiTheme="majorBidi" w:hAnsiTheme="majorBidi" w:cstheme="majorBidi"/>
        </w:rPr>
        <w:t>ng</w:t>
      </w:r>
      <w:proofErr w:type="spellEnd"/>
      <w:r w:rsidRPr="00DF1F3B">
        <w:rPr>
          <w:rFonts w:asciiTheme="majorBidi" w:hAnsiTheme="majorBidi" w:cstheme="majorBidi"/>
        </w:rPr>
        <w:t xml:space="preserve"> total RNA applying the Revert Aid first strand </w:t>
      </w:r>
      <w:proofErr w:type="spellStart"/>
      <w:r w:rsidRPr="00DF1F3B">
        <w:rPr>
          <w:rFonts w:asciiTheme="majorBidi" w:hAnsiTheme="majorBidi" w:cstheme="majorBidi"/>
        </w:rPr>
        <w:t>cDNA</w:t>
      </w:r>
      <w:proofErr w:type="spellEnd"/>
      <w:r w:rsidRPr="00DF1F3B">
        <w:rPr>
          <w:rFonts w:asciiTheme="majorBidi" w:hAnsiTheme="majorBidi" w:cstheme="majorBidi"/>
        </w:rPr>
        <w:t xml:space="preserve"> synthesis kit (Thermo Fisher Scientific, Waltham, USA). Collection of the samples for analyzing the gene expression was based on methods described before</w:t>
      </w:r>
      <w:r w:rsidRPr="0086458E">
        <w:rPr>
          <w:rFonts w:asciiTheme="majorBidi" w:hAnsiTheme="majorBidi" w:cstheme="majorBidi"/>
          <w:vertAlign w:val="superscript"/>
        </w:rPr>
        <w:t>12</w:t>
      </w:r>
      <w:r w:rsidRPr="00DF1F3B">
        <w:rPr>
          <w:rFonts w:asciiTheme="majorBidi" w:hAnsiTheme="majorBidi" w:cstheme="majorBidi"/>
        </w:rPr>
        <w:t>.</w:t>
      </w:r>
    </w:p>
    <w:p w:rsidR="00BD26BC" w:rsidRPr="00DF1F3B" w:rsidRDefault="00BD26BC" w:rsidP="00BD26BC">
      <w:pPr>
        <w:autoSpaceDE w:val="0"/>
        <w:autoSpaceDN w:val="0"/>
        <w:adjustRightInd w:val="0"/>
        <w:spacing w:after="0" w:line="480" w:lineRule="auto"/>
        <w:rPr>
          <w:rFonts w:asciiTheme="majorBidi" w:hAnsiTheme="majorBidi" w:cstheme="majorBidi"/>
          <w:b/>
          <w:bCs/>
        </w:rPr>
      </w:pPr>
      <w:r w:rsidRPr="00DF1F3B">
        <w:rPr>
          <w:rFonts w:asciiTheme="majorBidi" w:hAnsiTheme="majorBidi" w:cstheme="majorBidi"/>
          <w:b/>
          <w:bCs/>
        </w:rPr>
        <w:lastRenderedPageBreak/>
        <w:t>Quantitative Real Time Polymerase Chain Reaction (</w:t>
      </w:r>
      <w:proofErr w:type="spellStart"/>
      <w:r w:rsidRPr="00DF1F3B">
        <w:rPr>
          <w:rFonts w:asciiTheme="majorBidi" w:hAnsiTheme="majorBidi" w:cstheme="majorBidi"/>
          <w:b/>
          <w:bCs/>
        </w:rPr>
        <w:t>qPCR</w:t>
      </w:r>
      <w:proofErr w:type="spellEnd"/>
      <w:r w:rsidRPr="00DF1F3B">
        <w:rPr>
          <w:rFonts w:asciiTheme="majorBidi" w:hAnsiTheme="majorBidi" w:cstheme="majorBidi"/>
          <w:b/>
          <w:bCs/>
        </w:rPr>
        <w:t>)</w:t>
      </w:r>
    </w:p>
    <w:p w:rsidR="00BD26BC" w:rsidRPr="00DF1F3B" w:rsidRDefault="00BD26BC" w:rsidP="00BD26BC">
      <w:pPr>
        <w:autoSpaceDE w:val="0"/>
        <w:autoSpaceDN w:val="0"/>
        <w:adjustRightInd w:val="0"/>
        <w:spacing w:after="0" w:line="480" w:lineRule="auto"/>
        <w:rPr>
          <w:rFonts w:asciiTheme="majorBidi" w:hAnsiTheme="majorBidi" w:cstheme="majorBidi"/>
        </w:rPr>
      </w:pPr>
      <w:r w:rsidRPr="00DF1F3B">
        <w:rPr>
          <w:rFonts w:asciiTheme="majorBidi" w:hAnsiTheme="majorBidi" w:cstheme="majorBidi"/>
        </w:rPr>
        <w:t xml:space="preserve">The targeted apoptotic genes were </w:t>
      </w:r>
      <w:proofErr w:type="spellStart"/>
      <w:r w:rsidRPr="00DF1F3B">
        <w:rPr>
          <w:rFonts w:asciiTheme="majorBidi" w:hAnsiTheme="majorBidi" w:cstheme="majorBidi"/>
        </w:rPr>
        <w:t>Bax</w:t>
      </w:r>
      <w:proofErr w:type="spellEnd"/>
      <w:r w:rsidRPr="00DF1F3B">
        <w:rPr>
          <w:rFonts w:asciiTheme="majorBidi" w:hAnsiTheme="majorBidi" w:cstheme="majorBidi"/>
        </w:rPr>
        <w:t xml:space="preserve"> and Bcl-2 and B</w:t>
      </w:r>
      <w:r w:rsidRPr="00DF1F3B">
        <w:rPr>
          <w:rFonts w:asciiTheme="majorBidi" w:hAnsiTheme="majorBidi" w:cstheme="majorBidi"/>
          <w:vertAlign w:val="subscript"/>
        </w:rPr>
        <w:t>2</w:t>
      </w:r>
      <w:r w:rsidRPr="00DF1F3B">
        <w:rPr>
          <w:rFonts w:asciiTheme="majorBidi" w:hAnsiTheme="majorBidi" w:cstheme="majorBidi"/>
        </w:rPr>
        <w:t xml:space="preserve">m was considered as an endogenous control gene. The sequences of these genes were determined by NCBI database and primer sets were designed by primer3 software (Table 1). Real time PCR was carried out using SYBR Green I as reporter dye and Step One Real-Time PCR reactions (Applied </w:t>
      </w:r>
      <w:proofErr w:type="spellStart"/>
      <w:r w:rsidRPr="00DF1F3B">
        <w:rPr>
          <w:rFonts w:asciiTheme="majorBidi" w:hAnsiTheme="majorBidi" w:cstheme="majorBidi"/>
        </w:rPr>
        <w:t>Biosystems</w:t>
      </w:r>
      <w:proofErr w:type="spellEnd"/>
      <w:r w:rsidRPr="00DF1F3B">
        <w:rPr>
          <w:rFonts w:asciiTheme="majorBidi" w:hAnsiTheme="majorBidi" w:cstheme="majorBidi"/>
        </w:rPr>
        <w:t xml:space="preserve">, Waltham, USA). In each reaction, 200 </w:t>
      </w:r>
      <w:proofErr w:type="spellStart"/>
      <w:r w:rsidRPr="00DF1F3B">
        <w:rPr>
          <w:rFonts w:asciiTheme="majorBidi" w:hAnsiTheme="majorBidi" w:cstheme="majorBidi"/>
        </w:rPr>
        <w:t>nM</w:t>
      </w:r>
      <w:proofErr w:type="spellEnd"/>
      <w:r w:rsidRPr="00DF1F3B">
        <w:rPr>
          <w:rFonts w:asciiTheme="majorBidi" w:hAnsiTheme="majorBidi" w:cstheme="majorBidi"/>
        </w:rPr>
        <w:t xml:space="preserve"> of each primer was added to target the specific sequence. The PCR condition was set at 94°C for 10 min followed by 40 cycles at 94°C for 15 s, at 60°C for 60 s, and melting curve analysis ramping from 65 to 95°C. The amplification signals of different samples were normalized to B</w:t>
      </w:r>
      <w:r w:rsidRPr="00DF1F3B">
        <w:rPr>
          <w:rFonts w:asciiTheme="majorBidi" w:hAnsiTheme="majorBidi" w:cstheme="majorBidi"/>
          <w:vertAlign w:val="subscript"/>
        </w:rPr>
        <w:t>2</w:t>
      </w:r>
      <w:r w:rsidRPr="00DF1F3B">
        <w:rPr>
          <w:rFonts w:asciiTheme="majorBidi" w:hAnsiTheme="majorBidi" w:cstheme="majorBidi"/>
        </w:rPr>
        <w:t>m cycle threshold (Ct), and then the 2-DDCt method was applied to compare mRNA levels of various groups, which represented a fold-change in data analysis</w:t>
      </w:r>
      <w:r w:rsidRPr="0086458E">
        <w:rPr>
          <w:rFonts w:asciiTheme="majorBidi" w:hAnsiTheme="majorBidi" w:cstheme="majorBidi"/>
          <w:vertAlign w:val="superscript"/>
        </w:rPr>
        <w:t>12</w:t>
      </w:r>
      <w:r w:rsidRPr="00DF1F3B">
        <w:rPr>
          <w:rFonts w:asciiTheme="majorBidi" w:hAnsiTheme="majorBidi" w:cstheme="majorBidi"/>
        </w:rPr>
        <w:t>.</w:t>
      </w:r>
      <w:r w:rsidRPr="00DF1F3B">
        <w:rPr>
          <w:rFonts w:asciiTheme="majorBidi" w:hAnsiTheme="majorBidi" w:cstheme="majorBidi"/>
          <w:vertAlign w:val="superscript"/>
        </w:rPr>
        <w:t xml:space="preserve"> </w:t>
      </w:r>
    </w:p>
    <w:p w:rsidR="00BD26BC" w:rsidRPr="00DF1F3B" w:rsidRDefault="00BD26BC" w:rsidP="00BD26BC">
      <w:pPr>
        <w:autoSpaceDE w:val="0"/>
        <w:autoSpaceDN w:val="0"/>
        <w:adjustRightInd w:val="0"/>
        <w:spacing w:after="0" w:line="480" w:lineRule="auto"/>
        <w:rPr>
          <w:rFonts w:asciiTheme="majorBidi" w:hAnsiTheme="majorBidi" w:cstheme="majorBidi"/>
        </w:rPr>
      </w:pPr>
    </w:p>
    <w:p w:rsidR="00BD26BC" w:rsidRPr="00DF1F3B" w:rsidRDefault="00BD26BC" w:rsidP="00BD26BC">
      <w:pPr>
        <w:rPr>
          <w:rFonts w:asciiTheme="majorBidi" w:hAnsiTheme="majorBidi" w:cstheme="majorBidi"/>
          <w:b/>
          <w:bCs/>
        </w:rPr>
      </w:pPr>
      <w:r w:rsidRPr="00DF1F3B">
        <w:rPr>
          <w:rFonts w:asciiTheme="majorBidi" w:hAnsiTheme="majorBidi" w:cstheme="majorBidi"/>
          <w:b/>
          <w:bCs/>
        </w:rPr>
        <w:t xml:space="preserve">Table 1 </w:t>
      </w:r>
      <w:r w:rsidRPr="00DF1F3B">
        <w:rPr>
          <w:rFonts w:asciiTheme="majorBidi" w:hAnsiTheme="majorBidi" w:cstheme="majorBidi"/>
        </w:rPr>
        <w:t xml:space="preserve">The </w:t>
      </w:r>
      <w:proofErr w:type="spellStart"/>
      <w:r w:rsidRPr="00DF1F3B">
        <w:rPr>
          <w:rFonts w:asciiTheme="majorBidi" w:hAnsiTheme="majorBidi" w:cstheme="majorBidi"/>
        </w:rPr>
        <w:t>Bax</w:t>
      </w:r>
      <w:proofErr w:type="spellEnd"/>
      <w:r w:rsidRPr="00DF1F3B">
        <w:rPr>
          <w:rFonts w:asciiTheme="majorBidi" w:hAnsiTheme="majorBidi" w:cstheme="majorBidi"/>
        </w:rPr>
        <w:t>, Bcl-2 and B2m gene sequences designed by primer3 software</w:t>
      </w:r>
    </w:p>
    <w:tbl>
      <w:tblPr>
        <w:tblW w:w="0" w:type="auto"/>
        <w:tblInd w:w="-318" w:type="dxa"/>
        <w:tblBorders>
          <w:top w:val="single" w:sz="8" w:space="0" w:color="000000"/>
          <w:bottom w:val="single" w:sz="8" w:space="0" w:color="000000"/>
        </w:tblBorders>
        <w:tblLook w:val="06A0" w:firstRow="1" w:lastRow="0" w:firstColumn="1" w:lastColumn="0" w:noHBand="1" w:noVBand="1"/>
      </w:tblPr>
      <w:tblGrid>
        <w:gridCol w:w="1844"/>
        <w:gridCol w:w="5953"/>
        <w:gridCol w:w="2097"/>
      </w:tblGrid>
      <w:tr w:rsidR="00BD26BC" w:rsidRPr="00DF1F3B" w:rsidTr="0077126F">
        <w:tc>
          <w:tcPr>
            <w:tcW w:w="1844" w:type="dxa"/>
            <w:tcBorders>
              <w:top w:val="single" w:sz="8" w:space="0" w:color="000000"/>
              <w:left w:val="nil"/>
              <w:bottom w:val="single" w:sz="8" w:space="0" w:color="000000"/>
              <w:right w:val="nil"/>
            </w:tcBorders>
            <w:hideMark/>
          </w:tcPr>
          <w:p w:rsidR="00BD26BC" w:rsidRPr="00DF1F3B" w:rsidRDefault="00BD26BC" w:rsidP="0077126F">
            <w:pPr>
              <w:spacing w:line="240" w:lineRule="auto"/>
              <w:jc w:val="center"/>
              <w:rPr>
                <w:rFonts w:asciiTheme="majorBidi" w:hAnsiTheme="majorBidi" w:cstheme="majorBidi"/>
              </w:rPr>
            </w:pPr>
            <w:r w:rsidRPr="00DF1F3B">
              <w:rPr>
                <w:rFonts w:asciiTheme="majorBidi" w:hAnsiTheme="majorBidi" w:cstheme="majorBidi"/>
              </w:rPr>
              <w:t>Gene</w:t>
            </w:r>
          </w:p>
        </w:tc>
        <w:tc>
          <w:tcPr>
            <w:tcW w:w="5953" w:type="dxa"/>
            <w:tcBorders>
              <w:top w:val="single" w:sz="8" w:space="0" w:color="000000"/>
              <w:left w:val="nil"/>
              <w:bottom w:val="single" w:sz="8" w:space="0" w:color="000000"/>
              <w:right w:val="nil"/>
            </w:tcBorders>
            <w:hideMark/>
          </w:tcPr>
          <w:p w:rsidR="00BD26BC" w:rsidRPr="00DF1F3B" w:rsidRDefault="00BD26BC" w:rsidP="0077126F">
            <w:pPr>
              <w:spacing w:line="240" w:lineRule="auto"/>
              <w:jc w:val="center"/>
              <w:rPr>
                <w:rFonts w:asciiTheme="majorBidi" w:hAnsiTheme="majorBidi" w:cstheme="majorBidi"/>
              </w:rPr>
            </w:pPr>
            <w:r w:rsidRPr="00DF1F3B">
              <w:rPr>
                <w:rFonts w:asciiTheme="majorBidi" w:hAnsiTheme="majorBidi" w:cstheme="majorBidi"/>
              </w:rPr>
              <w:t>Primer sequence</w:t>
            </w:r>
          </w:p>
        </w:tc>
        <w:tc>
          <w:tcPr>
            <w:tcW w:w="2097" w:type="dxa"/>
            <w:tcBorders>
              <w:top w:val="single" w:sz="8" w:space="0" w:color="000000"/>
              <w:left w:val="nil"/>
              <w:bottom w:val="single" w:sz="8" w:space="0" w:color="000000"/>
              <w:right w:val="nil"/>
            </w:tcBorders>
            <w:hideMark/>
          </w:tcPr>
          <w:p w:rsidR="00BD26BC" w:rsidRPr="00DF1F3B" w:rsidRDefault="00BD26BC" w:rsidP="0077126F">
            <w:pPr>
              <w:spacing w:line="240" w:lineRule="auto"/>
              <w:jc w:val="center"/>
              <w:rPr>
                <w:rFonts w:asciiTheme="majorBidi" w:hAnsiTheme="majorBidi" w:cstheme="majorBidi"/>
              </w:rPr>
            </w:pPr>
            <w:r w:rsidRPr="00DF1F3B">
              <w:rPr>
                <w:rFonts w:asciiTheme="majorBidi" w:hAnsiTheme="majorBidi" w:cstheme="majorBidi"/>
              </w:rPr>
              <w:t>Size</w:t>
            </w:r>
            <w:r w:rsidRPr="00DF1F3B">
              <w:rPr>
                <w:rFonts w:asciiTheme="majorBidi" w:hAnsiTheme="majorBidi" w:cstheme="majorBidi"/>
                <w:rtl/>
              </w:rPr>
              <w:t xml:space="preserve"> </w:t>
            </w:r>
            <w:r w:rsidRPr="00DF1F3B">
              <w:rPr>
                <w:rFonts w:asciiTheme="majorBidi" w:hAnsiTheme="majorBidi" w:cstheme="majorBidi"/>
              </w:rPr>
              <w:t>(</w:t>
            </w:r>
            <w:proofErr w:type="spellStart"/>
            <w:r w:rsidRPr="00DF1F3B">
              <w:rPr>
                <w:rFonts w:asciiTheme="majorBidi" w:hAnsiTheme="majorBidi" w:cstheme="majorBidi"/>
              </w:rPr>
              <w:t>bp</w:t>
            </w:r>
            <w:proofErr w:type="spellEnd"/>
            <w:r w:rsidRPr="00DF1F3B">
              <w:rPr>
                <w:rFonts w:asciiTheme="majorBidi" w:hAnsiTheme="majorBidi" w:cstheme="majorBidi"/>
              </w:rPr>
              <w:t>)</w:t>
            </w:r>
          </w:p>
        </w:tc>
      </w:tr>
      <w:tr w:rsidR="00BD26BC" w:rsidRPr="00DF1F3B" w:rsidTr="0077126F">
        <w:tc>
          <w:tcPr>
            <w:tcW w:w="1844" w:type="dxa"/>
            <w:tcBorders>
              <w:top w:val="nil"/>
              <w:left w:val="nil"/>
              <w:bottom w:val="nil"/>
              <w:right w:val="nil"/>
            </w:tcBorders>
            <w:hideMark/>
          </w:tcPr>
          <w:p w:rsidR="00BD26BC" w:rsidRPr="00DF1F3B" w:rsidRDefault="00BD26BC" w:rsidP="0077126F">
            <w:pPr>
              <w:spacing w:line="240" w:lineRule="auto"/>
              <w:jc w:val="center"/>
              <w:rPr>
                <w:rFonts w:asciiTheme="majorBidi" w:hAnsiTheme="majorBidi" w:cstheme="majorBidi"/>
              </w:rPr>
            </w:pPr>
            <w:proofErr w:type="spellStart"/>
            <w:r w:rsidRPr="00DF1F3B">
              <w:rPr>
                <w:rFonts w:asciiTheme="majorBidi" w:hAnsiTheme="majorBidi" w:cstheme="majorBidi"/>
              </w:rPr>
              <w:t>Bax</w:t>
            </w:r>
            <w:proofErr w:type="spellEnd"/>
          </w:p>
        </w:tc>
        <w:tc>
          <w:tcPr>
            <w:tcW w:w="5953" w:type="dxa"/>
            <w:tcBorders>
              <w:top w:val="nil"/>
              <w:left w:val="nil"/>
              <w:bottom w:val="nil"/>
              <w:right w:val="nil"/>
            </w:tcBorders>
            <w:hideMark/>
          </w:tcPr>
          <w:p w:rsidR="00BD26BC" w:rsidRPr="00DF1F3B" w:rsidRDefault="00BD26BC" w:rsidP="0077126F">
            <w:pPr>
              <w:spacing w:line="240" w:lineRule="auto"/>
              <w:jc w:val="both"/>
              <w:rPr>
                <w:rFonts w:asciiTheme="majorBidi" w:hAnsiTheme="majorBidi" w:cstheme="majorBidi"/>
              </w:rPr>
            </w:pPr>
            <w:r w:rsidRPr="00DF1F3B">
              <w:rPr>
                <w:rFonts w:asciiTheme="majorBidi" w:hAnsiTheme="majorBidi" w:cstheme="majorBidi"/>
              </w:rPr>
              <w:t>Forward</w:t>
            </w:r>
            <w:r w:rsidRPr="00DF1F3B">
              <w:rPr>
                <w:rFonts w:asciiTheme="majorBidi" w:hAnsiTheme="majorBidi" w:cstheme="majorBidi"/>
                <w:rtl/>
              </w:rPr>
              <w:t>:</w:t>
            </w:r>
            <w:r w:rsidRPr="00DF1F3B">
              <w:rPr>
                <w:rFonts w:asciiTheme="majorBidi" w:hAnsiTheme="majorBidi" w:cstheme="majorBidi"/>
              </w:rPr>
              <w:t xml:space="preserve">  5’-</w:t>
            </w:r>
            <w:r w:rsidRPr="00DF1F3B">
              <w:rPr>
                <w:rFonts w:asciiTheme="majorBidi" w:eastAsia="Times New Roman" w:hAnsiTheme="majorBidi" w:cstheme="majorBidi"/>
              </w:rPr>
              <w:t>CTGCAGAGGATGATTGCTGA</w:t>
            </w:r>
            <w:r w:rsidRPr="00DF1F3B">
              <w:rPr>
                <w:rFonts w:asciiTheme="majorBidi" w:hAnsiTheme="majorBidi" w:cstheme="majorBidi"/>
              </w:rPr>
              <w:t>-3’</w:t>
            </w:r>
          </w:p>
        </w:tc>
        <w:tc>
          <w:tcPr>
            <w:tcW w:w="2097" w:type="dxa"/>
            <w:tcBorders>
              <w:top w:val="nil"/>
              <w:left w:val="nil"/>
              <w:bottom w:val="nil"/>
              <w:right w:val="nil"/>
            </w:tcBorders>
            <w:hideMark/>
          </w:tcPr>
          <w:p w:rsidR="00BD26BC" w:rsidRPr="00DF1F3B" w:rsidRDefault="00BD26BC" w:rsidP="0077126F">
            <w:pPr>
              <w:spacing w:line="240" w:lineRule="auto"/>
              <w:jc w:val="center"/>
              <w:rPr>
                <w:rFonts w:asciiTheme="majorBidi" w:hAnsiTheme="majorBidi" w:cstheme="majorBidi"/>
              </w:rPr>
            </w:pPr>
            <w:r w:rsidRPr="00DF1F3B">
              <w:rPr>
                <w:rFonts w:asciiTheme="majorBidi" w:hAnsiTheme="majorBidi" w:cstheme="majorBidi"/>
              </w:rPr>
              <w:t>174</w:t>
            </w:r>
          </w:p>
        </w:tc>
      </w:tr>
      <w:tr w:rsidR="00BD26BC" w:rsidRPr="00DF1F3B" w:rsidTr="0077126F">
        <w:tc>
          <w:tcPr>
            <w:tcW w:w="1844" w:type="dxa"/>
            <w:tcBorders>
              <w:top w:val="nil"/>
              <w:left w:val="nil"/>
              <w:bottom w:val="nil"/>
              <w:right w:val="nil"/>
            </w:tcBorders>
          </w:tcPr>
          <w:p w:rsidR="00BD26BC" w:rsidRPr="00DF1F3B" w:rsidRDefault="00BD26BC" w:rsidP="0077126F">
            <w:pPr>
              <w:spacing w:line="240" w:lineRule="auto"/>
              <w:jc w:val="center"/>
              <w:rPr>
                <w:rFonts w:asciiTheme="majorBidi" w:hAnsiTheme="majorBidi" w:cstheme="majorBidi"/>
              </w:rPr>
            </w:pPr>
          </w:p>
        </w:tc>
        <w:tc>
          <w:tcPr>
            <w:tcW w:w="5953" w:type="dxa"/>
            <w:tcBorders>
              <w:top w:val="nil"/>
              <w:left w:val="nil"/>
              <w:bottom w:val="nil"/>
              <w:right w:val="nil"/>
            </w:tcBorders>
            <w:hideMark/>
          </w:tcPr>
          <w:p w:rsidR="00BD26BC" w:rsidRPr="00DF1F3B" w:rsidRDefault="00BD26BC" w:rsidP="0077126F">
            <w:pPr>
              <w:spacing w:line="240" w:lineRule="auto"/>
              <w:jc w:val="both"/>
              <w:rPr>
                <w:rFonts w:asciiTheme="majorBidi" w:hAnsiTheme="majorBidi" w:cstheme="majorBidi"/>
              </w:rPr>
            </w:pPr>
            <w:r w:rsidRPr="00DF1F3B">
              <w:rPr>
                <w:rFonts w:asciiTheme="majorBidi" w:hAnsiTheme="majorBidi" w:cstheme="majorBidi"/>
              </w:rPr>
              <w:t>Reverse</w:t>
            </w:r>
            <w:r w:rsidRPr="00DF1F3B">
              <w:rPr>
                <w:rFonts w:asciiTheme="majorBidi" w:hAnsiTheme="majorBidi" w:cstheme="majorBidi"/>
                <w:rtl/>
              </w:rPr>
              <w:t>:</w:t>
            </w:r>
            <w:r w:rsidRPr="00DF1F3B">
              <w:rPr>
                <w:rFonts w:asciiTheme="majorBidi" w:hAnsiTheme="majorBidi" w:cstheme="majorBidi"/>
              </w:rPr>
              <w:t xml:space="preserve">   5’</w:t>
            </w:r>
            <w:r w:rsidRPr="00DF1F3B">
              <w:rPr>
                <w:rFonts w:asciiTheme="majorBidi" w:eastAsia="Times New Roman" w:hAnsiTheme="majorBidi" w:cstheme="majorBidi"/>
              </w:rPr>
              <w:t>-GATCAGCTCGGGCACTTTAG</w:t>
            </w:r>
            <w:r w:rsidRPr="00DF1F3B">
              <w:rPr>
                <w:rFonts w:asciiTheme="majorBidi" w:hAnsiTheme="majorBidi" w:cstheme="majorBidi"/>
              </w:rPr>
              <w:t>-3’</w:t>
            </w:r>
          </w:p>
        </w:tc>
        <w:tc>
          <w:tcPr>
            <w:tcW w:w="2097" w:type="dxa"/>
            <w:tcBorders>
              <w:top w:val="nil"/>
              <w:left w:val="nil"/>
              <w:bottom w:val="nil"/>
              <w:right w:val="nil"/>
            </w:tcBorders>
          </w:tcPr>
          <w:p w:rsidR="00BD26BC" w:rsidRPr="00DF1F3B" w:rsidRDefault="00BD26BC" w:rsidP="0077126F">
            <w:pPr>
              <w:spacing w:line="240" w:lineRule="auto"/>
              <w:jc w:val="center"/>
              <w:rPr>
                <w:rFonts w:asciiTheme="majorBidi" w:hAnsiTheme="majorBidi" w:cstheme="majorBidi"/>
              </w:rPr>
            </w:pPr>
          </w:p>
        </w:tc>
      </w:tr>
      <w:tr w:rsidR="00BD26BC" w:rsidRPr="00DF1F3B" w:rsidTr="0077126F">
        <w:tc>
          <w:tcPr>
            <w:tcW w:w="1844" w:type="dxa"/>
            <w:tcBorders>
              <w:top w:val="nil"/>
              <w:left w:val="nil"/>
              <w:bottom w:val="nil"/>
              <w:right w:val="nil"/>
            </w:tcBorders>
            <w:hideMark/>
          </w:tcPr>
          <w:p w:rsidR="00BD26BC" w:rsidRPr="00DF1F3B" w:rsidRDefault="00BD26BC" w:rsidP="0077126F">
            <w:pPr>
              <w:spacing w:line="240" w:lineRule="auto"/>
              <w:jc w:val="center"/>
              <w:rPr>
                <w:rFonts w:asciiTheme="majorBidi" w:hAnsiTheme="majorBidi" w:cstheme="majorBidi"/>
              </w:rPr>
            </w:pPr>
            <w:r w:rsidRPr="00DF1F3B">
              <w:rPr>
                <w:rFonts w:asciiTheme="majorBidi" w:hAnsiTheme="majorBidi" w:cstheme="majorBidi"/>
              </w:rPr>
              <w:t>Bcl2</w:t>
            </w:r>
          </w:p>
        </w:tc>
        <w:tc>
          <w:tcPr>
            <w:tcW w:w="5953" w:type="dxa"/>
            <w:tcBorders>
              <w:top w:val="nil"/>
              <w:left w:val="nil"/>
              <w:bottom w:val="nil"/>
              <w:right w:val="nil"/>
            </w:tcBorders>
            <w:hideMark/>
          </w:tcPr>
          <w:p w:rsidR="00BD26BC" w:rsidRPr="00DF1F3B" w:rsidRDefault="00BD26BC" w:rsidP="0077126F">
            <w:pPr>
              <w:spacing w:line="240" w:lineRule="auto"/>
              <w:jc w:val="both"/>
              <w:rPr>
                <w:rFonts w:asciiTheme="majorBidi" w:hAnsiTheme="majorBidi" w:cstheme="majorBidi"/>
              </w:rPr>
            </w:pPr>
            <w:r w:rsidRPr="00DF1F3B">
              <w:rPr>
                <w:rFonts w:asciiTheme="majorBidi" w:hAnsiTheme="majorBidi" w:cstheme="majorBidi"/>
              </w:rPr>
              <w:t>Forward:  5’-ATCGCTCTGTGGATGACTGAGTAC-3’</w:t>
            </w:r>
          </w:p>
        </w:tc>
        <w:tc>
          <w:tcPr>
            <w:tcW w:w="2097" w:type="dxa"/>
            <w:tcBorders>
              <w:top w:val="nil"/>
              <w:left w:val="nil"/>
              <w:bottom w:val="nil"/>
              <w:right w:val="nil"/>
            </w:tcBorders>
            <w:hideMark/>
          </w:tcPr>
          <w:p w:rsidR="00BD26BC" w:rsidRPr="00DF1F3B" w:rsidRDefault="00BD26BC" w:rsidP="0077126F">
            <w:pPr>
              <w:spacing w:line="240" w:lineRule="auto"/>
              <w:jc w:val="center"/>
              <w:rPr>
                <w:rFonts w:asciiTheme="majorBidi" w:hAnsiTheme="majorBidi" w:cstheme="majorBidi"/>
              </w:rPr>
            </w:pPr>
            <w:r w:rsidRPr="00DF1F3B">
              <w:rPr>
                <w:rFonts w:asciiTheme="majorBidi" w:hAnsiTheme="majorBidi" w:cstheme="majorBidi"/>
              </w:rPr>
              <w:t>134</w:t>
            </w:r>
          </w:p>
        </w:tc>
      </w:tr>
      <w:tr w:rsidR="00BD26BC" w:rsidRPr="00DF1F3B" w:rsidTr="0077126F">
        <w:tc>
          <w:tcPr>
            <w:tcW w:w="1844" w:type="dxa"/>
            <w:tcBorders>
              <w:top w:val="nil"/>
              <w:left w:val="nil"/>
              <w:bottom w:val="nil"/>
              <w:right w:val="nil"/>
            </w:tcBorders>
          </w:tcPr>
          <w:p w:rsidR="00BD26BC" w:rsidRPr="00DF1F3B" w:rsidRDefault="00BD26BC" w:rsidP="0077126F">
            <w:pPr>
              <w:spacing w:line="240" w:lineRule="auto"/>
              <w:jc w:val="center"/>
              <w:rPr>
                <w:rFonts w:asciiTheme="majorBidi" w:hAnsiTheme="majorBidi" w:cstheme="majorBidi"/>
              </w:rPr>
            </w:pPr>
          </w:p>
        </w:tc>
        <w:tc>
          <w:tcPr>
            <w:tcW w:w="5953" w:type="dxa"/>
            <w:tcBorders>
              <w:top w:val="nil"/>
              <w:left w:val="nil"/>
              <w:bottom w:val="nil"/>
              <w:right w:val="nil"/>
            </w:tcBorders>
            <w:hideMark/>
          </w:tcPr>
          <w:p w:rsidR="00BD26BC" w:rsidRPr="00DF1F3B" w:rsidRDefault="00BD26BC" w:rsidP="0077126F">
            <w:pPr>
              <w:spacing w:line="240" w:lineRule="auto"/>
              <w:jc w:val="both"/>
              <w:rPr>
                <w:rFonts w:asciiTheme="majorBidi" w:hAnsiTheme="majorBidi" w:cstheme="majorBidi"/>
              </w:rPr>
            </w:pPr>
            <w:r w:rsidRPr="00DF1F3B">
              <w:rPr>
                <w:rFonts w:asciiTheme="majorBidi" w:hAnsiTheme="majorBidi" w:cstheme="majorBidi"/>
              </w:rPr>
              <w:t>Reverse:   5’-AGAGACAGCCAGGAGAAATCAAAC-3’</w:t>
            </w:r>
          </w:p>
        </w:tc>
        <w:tc>
          <w:tcPr>
            <w:tcW w:w="2097" w:type="dxa"/>
            <w:tcBorders>
              <w:top w:val="nil"/>
              <w:left w:val="nil"/>
              <w:bottom w:val="nil"/>
              <w:right w:val="nil"/>
            </w:tcBorders>
          </w:tcPr>
          <w:p w:rsidR="00BD26BC" w:rsidRPr="00DF1F3B" w:rsidRDefault="00BD26BC" w:rsidP="0077126F">
            <w:pPr>
              <w:spacing w:line="240" w:lineRule="auto"/>
              <w:jc w:val="center"/>
              <w:rPr>
                <w:rFonts w:asciiTheme="majorBidi" w:hAnsiTheme="majorBidi" w:cstheme="majorBidi"/>
              </w:rPr>
            </w:pPr>
          </w:p>
        </w:tc>
      </w:tr>
      <w:tr w:rsidR="00BD26BC" w:rsidRPr="00DF1F3B" w:rsidTr="0077126F">
        <w:tc>
          <w:tcPr>
            <w:tcW w:w="1844" w:type="dxa"/>
            <w:tcBorders>
              <w:top w:val="nil"/>
              <w:left w:val="nil"/>
              <w:bottom w:val="nil"/>
              <w:right w:val="nil"/>
            </w:tcBorders>
            <w:hideMark/>
          </w:tcPr>
          <w:p w:rsidR="00BD26BC" w:rsidRPr="00DF1F3B" w:rsidRDefault="00BD26BC" w:rsidP="0077126F">
            <w:pPr>
              <w:spacing w:after="0" w:line="480" w:lineRule="auto"/>
              <w:ind w:left="-90" w:right="-180"/>
              <w:jc w:val="center"/>
              <w:rPr>
                <w:rFonts w:asciiTheme="majorBidi" w:hAnsiTheme="majorBidi" w:cstheme="majorBidi"/>
              </w:rPr>
            </w:pPr>
            <w:r w:rsidRPr="00DF1F3B">
              <w:rPr>
                <w:rFonts w:asciiTheme="majorBidi" w:hAnsiTheme="majorBidi" w:cstheme="majorBidi"/>
              </w:rPr>
              <w:t>B2m</w:t>
            </w:r>
          </w:p>
        </w:tc>
        <w:tc>
          <w:tcPr>
            <w:tcW w:w="5953" w:type="dxa"/>
            <w:tcBorders>
              <w:top w:val="nil"/>
              <w:left w:val="nil"/>
              <w:bottom w:val="nil"/>
              <w:right w:val="nil"/>
            </w:tcBorders>
            <w:hideMark/>
          </w:tcPr>
          <w:p w:rsidR="00BD26BC" w:rsidRPr="00DF1F3B" w:rsidRDefault="00BD26BC" w:rsidP="0077126F">
            <w:pPr>
              <w:pStyle w:val="Default"/>
              <w:spacing w:line="480" w:lineRule="auto"/>
              <w:ind w:left="-90" w:right="-180"/>
              <w:rPr>
                <w:rFonts w:asciiTheme="majorBidi" w:hAnsiTheme="majorBidi" w:cstheme="majorBidi"/>
                <w:color w:val="auto"/>
                <w:sz w:val="22"/>
                <w:szCs w:val="22"/>
              </w:rPr>
            </w:pPr>
            <w:r w:rsidRPr="00DF1F3B">
              <w:rPr>
                <w:rFonts w:asciiTheme="majorBidi" w:hAnsiTheme="majorBidi" w:cstheme="majorBidi"/>
                <w:color w:val="auto"/>
                <w:sz w:val="22"/>
                <w:szCs w:val="22"/>
              </w:rPr>
              <w:t xml:space="preserve"> Forward:   5’-</w:t>
            </w:r>
            <w:r w:rsidRPr="0098570B">
              <w:rPr>
                <w:rStyle w:val="Strong"/>
                <w:rFonts w:asciiTheme="majorBidi" w:hAnsiTheme="majorBidi" w:cstheme="majorBidi"/>
                <w:b w:val="0"/>
                <w:bCs w:val="0"/>
                <w:sz w:val="22"/>
                <w:szCs w:val="22"/>
              </w:rPr>
              <w:t>CGTGCTTGCCATTCAGAAA</w:t>
            </w:r>
            <w:r w:rsidRPr="00DF1F3B">
              <w:rPr>
                <w:rFonts w:asciiTheme="majorBidi" w:hAnsiTheme="majorBidi" w:cstheme="majorBidi"/>
                <w:color w:val="auto"/>
                <w:sz w:val="22"/>
                <w:szCs w:val="22"/>
              </w:rPr>
              <w:t>-3’</w:t>
            </w:r>
          </w:p>
        </w:tc>
        <w:tc>
          <w:tcPr>
            <w:tcW w:w="2097" w:type="dxa"/>
            <w:tcBorders>
              <w:top w:val="nil"/>
              <w:left w:val="nil"/>
              <w:bottom w:val="nil"/>
              <w:right w:val="nil"/>
            </w:tcBorders>
            <w:hideMark/>
          </w:tcPr>
          <w:p w:rsidR="00BD26BC" w:rsidRPr="00DF1F3B" w:rsidRDefault="00BD26BC" w:rsidP="0077126F">
            <w:pPr>
              <w:spacing w:after="0" w:line="480" w:lineRule="auto"/>
              <w:ind w:right="-180"/>
              <w:rPr>
                <w:rFonts w:asciiTheme="majorBidi" w:hAnsiTheme="majorBidi" w:cstheme="majorBidi"/>
              </w:rPr>
            </w:pPr>
            <w:r w:rsidRPr="00DF1F3B">
              <w:rPr>
                <w:rFonts w:asciiTheme="majorBidi" w:hAnsiTheme="majorBidi" w:cstheme="majorBidi"/>
              </w:rPr>
              <w:t xml:space="preserve">            244</w:t>
            </w:r>
          </w:p>
        </w:tc>
      </w:tr>
      <w:tr w:rsidR="00BD26BC" w:rsidRPr="00DF1F3B" w:rsidTr="0077126F">
        <w:tc>
          <w:tcPr>
            <w:tcW w:w="1844" w:type="dxa"/>
            <w:tcBorders>
              <w:top w:val="nil"/>
              <w:left w:val="nil"/>
              <w:bottom w:val="single" w:sz="8" w:space="0" w:color="000000"/>
              <w:right w:val="nil"/>
            </w:tcBorders>
          </w:tcPr>
          <w:p w:rsidR="00BD26BC" w:rsidRPr="00DF1F3B" w:rsidRDefault="00BD26BC" w:rsidP="0077126F">
            <w:pPr>
              <w:spacing w:after="0" w:line="480" w:lineRule="auto"/>
              <w:ind w:left="-90" w:right="-180"/>
              <w:rPr>
                <w:rFonts w:asciiTheme="majorBidi" w:hAnsiTheme="majorBidi" w:cstheme="majorBidi"/>
              </w:rPr>
            </w:pPr>
          </w:p>
        </w:tc>
        <w:tc>
          <w:tcPr>
            <w:tcW w:w="5953" w:type="dxa"/>
            <w:tcBorders>
              <w:top w:val="nil"/>
              <w:left w:val="nil"/>
              <w:bottom w:val="single" w:sz="8" w:space="0" w:color="000000"/>
              <w:right w:val="nil"/>
            </w:tcBorders>
            <w:hideMark/>
          </w:tcPr>
          <w:p w:rsidR="00BD26BC" w:rsidRPr="00DF1F3B" w:rsidRDefault="00BD26BC" w:rsidP="0077126F">
            <w:pPr>
              <w:pStyle w:val="Default"/>
              <w:spacing w:line="480" w:lineRule="auto"/>
              <w:ind w:left="-90" w:right="-180"/>
              <w:rPr>
                <w:rFonts w:asciiTheme="majorBidi" w:hAnsiTheme="majorBidi" w:cstheme="majorBidi"/>
                <w:color w:val="auto"/>
                <w:sz w:val="22"/>
                <w:szCs w:val="22"/>
              </w:rPr>
            </w:pPr>
            <w:r w:rsidRPr="00DF1F3B">
              <w:rPr>
                <w:rFonts w:asciiTheme="majorBidi" w:hAnsiTheme="majorBidi" w:cstheme="majorBidi"/>
                <w:color w:val="auto"/>
                <w:sz w:val="22"/>
                <w:szCs w:val="22"/>
              </w:rPr>
              <w:t xml:space="preserve"> Reverse:    5’</w:t>
            </w:r>
            <w:r w:rsidRPr="00DF1F3B">
              <w:rPr>
                <w:rFonts w:asciiTheme="majorBidi" w:hAnsiTheme="majorBidi" w:cstheme="majorBidi"/>
                <w:b/>
                <w:bCs/>
                <w:color w:val="auto"/>
                <w:sz w:val="22"/>
                <w:szCs w:val="22"/>
              </w:rPr>
              <w:t>-</w:t>
            </w:r>
            <w:r w:rsidRPr="0098570B">
              <w:rPr>
                <w:rStyle w:val="Strong"/>
                <w:rFonts w:asciiTheme="majorBidi" w:hAnsiTheme="majorBidi" w:cstheme="majorBidi"/>
                <w:b w:val="0"/>
                <w:bCs w:val="0"/>
                <w:sz w:val="22"/>
                <w:szCs w:val="22"/>
              </w:rPr>
              <w:t>ATATACATCGGTCTCGGTGG</w:t>
            </w:r>
            <w:r w:rsidRPr="00DF1F3B">
              <w:rPr>
                <w:rFonts w:asciiTheme="majorBidi" w:hAnsiTheme="majorBidi" w:cstheme="majorBidi"/>
                <w:color w:val="auto"/>
                <w:sz w:val="22"/>
                <w:szCs w:val="22"/>
              </w:rPr>
              <w:t>-3’</w:t>
            </w:r>
          </w:p>
        </w:tc>
        <w:tc>
          <w:tcPr>
            <w:tcW w:w="2097" w:type="dxa"/>
            <w:tcBorders>
              <w:top w:val="nil"/>
              <w:left w:val="nil"/>
              <w:bottom w:val="single" w:sz="8" w:space="0" w:color="000000"/>
              <w:right w:val="nil"/>
            </w:tcBorders>
          </w:tcPr>
          <w:p w:rsidR="00BD26BC" w:rsidRPr="00DF1F3B" w:rsidRDefault="00BD26BC" w:rsidP="0077126F">
            <w:pPr>
              <w:spacing w:after="0" w:line="480" w:lineRule="auto"/>
              <w:ind w:left="-90" w:right="-180"/>
              <w:jc w:val="center"/>
              <w:rPr>
                <w:rFonts w:asciiTheme="majorBidi" w:hAnsiTheme="majorBidi" w:cstheme="majorBidi"/>
              </w:rPr>
            </w:pPr>
          </w:p>
        </w:tc>
      </w:tr>
    </w:tbl>
    <w:p w:rsidR="00BD26BC" w:rsidRPr="00DF1F3B" w:rsidRDefault="00BD26BC" w:rsidP="00BD26BC">
      <w:pPr>
        <w:tabs>
          <w:tab w:val="left" w:pos="5395"/>
        </w:tabs>
        <w:autoSpaceDE w:val="0"/>
        <w:autoSpaceDN w:val="0"/>
        <w:adjustRightInd w:val="0"/>
        <w:spacing w:after="0" w:line="480" w:lineRule="auto"/>
        <w:rPr>
          <w:rFonts w:asciiTheme="majorBidi" w:hAnsiTheme="majorBidi" w:cstheme="majorBidi"/>
          <w:rtl/>
        </w:rPr>
      </w:pPr>
      <w:proofErr w:type="spellStart"/>
      <w:proofErr w:type="gramStart"/>
      <w:r w:rsidRPr="00DF1F3B">
        <w:rPr>
          <w:rFonts w:asciiTheme="majorBidi" w:hAnsiTheme="majorBidi" w:cstheme="majorBidi"/>
        </w:rPr>
        <w:t>bp</w:t>
      </w:r>
      <w:proofErr w:type="spellEnd"/>
      <w:proofErr w:type="gramEnd"/>
      <w:r w:rsidRPr="00DF1F3B">
        <w:rPr>
          <w:rFonts w:asciiTheme="majorBidi" w:hAnsiTheme="majorBidi" w:cstheme="majorBidi"/>
        </w:rPr>
        <w:t>: base pair.</w:t>
      </w:r>
    </w:p>
    <w:p w:rsidR="00BD26BC" w:rsidRPr="00DF1F3B" w:rsidRDefault="00BD26BC" w:rsidP="00BD26BC">
      <w:pPr>
        <w:autoSpaceDE w:val="0"/>
        <w:autoSpaceDN w:val="0"/>
        <w:adjustRightInd w:val="0"/>
        <w:spacing w:after="0" w:line="480" w:lineRule="auto"/>
        <w:rPr>
          <w:rFonts w:asciiTheme="majorBidi" w:hAnsiTheme="majorBidi" w:cstheme="majorBidi"/>
        </w:rPr>
      </w:pPr>
    </w:p>
    <w:p w:rsidR="00BD26BC" w:rsidRPr="00DF1F3B" w:rsidRDefault="00BD26BC" w:rsidP="00BD26BC">
      <w:pPr>
        <w:autoSpaceDE w:val="0"/>
        <w:autoSpaceDN w:val="0"/>
        <w:adjustRightInd w:val="0"/>
        <w:spacing w:after="0" w:line="480" w:lineRule="auto"/>
        <w:rPr>
          <w:rFonts w:asciiTheme="majorBidi" w:hAnsiTheme="majorBidi" w:cstheme="majorBidi"/>
          <w:b/>
          <w:bCs/>
        </w:rPr>
      </w:pPr>
      <w:r w:rsidRPr="00DF1F3B">
        <w:rPr>
          <w:rFonts w:asciiTheme="majorBidi" w:hAnsiTheme="majorBidi" w:cstheme="majorBidi"/>
          <w:b/>
          <w:bCs/>
        </w:rPr>
        <w:t>Statistical Analysis</w:t>
      </w:r>
    </w:p>
    <w:p w:rsidR="00CA256B" w:rsidRDefault="00BD26BC" w:rsidP="00BD26BC">
      <w:pPr>
        <w:autoSpaceDE w:val="0"/>
        <w:autoSpaceDN w:val="0"/>
        <w:adjustRightInd w:val="0"/>
        <w:spacing w:after="0" w:line="480" w:lineRule="auto"/>
      </w:pPr>
      <w:r w:rsidRPr="00DF1F3B">
        <w:rPr>
          <w:rFonts w:asciiTheme="majorBidi" w:hAnsiTheme="majorBidi" w:cstheme="majorBidi"/>
        </w:rPr>
        <w:t>To compare the groups, one-way analysis of variance (ANOVA), Independent t and Shapiro-</w:t>
      </w:r>
      <w:proofErr w:type="spellStart"/>
      <w:r w:rsidRPr="00DF1F3B">
        <w:rPr>
          <w:rFonts w:asciiTheme="majorBidi" w:hAnsiTheme="majorBidi" w:cstheme="majorBidi"/>
        </w:rPr>
        <w:t>Wilks</w:t>
      </w:r>
      <w:proofErr w:type="spellEnd"/>
      <w:r w:rsidRPr="00DF1F3B">
        <w:rPr>
          <w:rFonts w:asciiTheme="majorBidi" w:hAnsiTheme="majorBidi" w:cstheme="majorBidi"/>
        </w:rPr>
        <w:t xml:space="preserve"> tests and Prism software (</w:t>
      </w:r>
      <w:proofErr w:type="spellStart"/>
      <w:r w:rsidRPr="00DF1F3B">
        <w:rPr>
          <w:rFonts w:asciiTheme="majorBidi" w:hAnsiTheme="majorBidi" w:cstheme="majorBidi"/>
        </w:rPr>
        <w:t>GraphPad</w:t>
      </w:r>
      <w:proofErr w:type="spellEnd"/>
      <w:r w:rsidRPr="00DF1F3B">
        <w:rPr>
          <w:rFonts w:asciiTheme="majorBidi" w:hAnsiTheme="majorBidi" w:cstheme="majorBidi"/>
        </w:rPr>
        <w:t xml:space="preserve"> Software, version 6.0, San Diego, USA) were used. A </w:t>
      </w:r>
      <w:r w:rsidRPr="00DF1F3B">
        <w:rPr>
          <w:rFonts w:asciiTheme="majorBidi" w:hAnsiTheme="majorBidi" w:cstheme="majorBidi"/>
          <w:i/>
          <w:iCs/>
        </w:rPr>
        <w:t>P</w:t>
      </w:r>
      <w:r w:rsidRPr="00DF1F3B">
        <w:rPr>
          <w:rFonts w:asciiTheme="majorBidi" w:hAnsiTheme="majorBidi" w:cstheme="majorBidi"/>
        </w:rPr>
        <w:t xml:space="preserve"> value &lt; 0.05 was considered statistically significant.</w:t>
      </w:r>
    </w:p>
    <w:sectPr w:rsidR="00CA256B" w:rsidSect="00BD26BC">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12" w:rsidRDefault="00753812" w:rsidP="00BD26BC">
      <w:pPr>
        <w:spacing w:after="0" w:line="240" w:lineRule="auto"/>
      </w:pPr>
      <w:r>
        <w:separator/>
      </w:r>
    </w:p>
  </w:endnote>
  <w:endnote w:type="continuationSeparator" w:id="0">
    <w:p w:rsidR="00753812" w:rsidRDefault="00753812" w:rsidP="00BD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870162"/>
      <w:docPartObj>
        <w:docPartGallery w:val="Page Numbers (Bottom of Page)"/>
        <w:docPartUnique/>
      </w:docPartObj>
    </w:sdtPr>
    <w:sdtEndPr>
      <w:rPr>
        <w:noProof/>
      </w:rPr>
    </w:sdtEndPr>
    <w:sdtContent>
      <w:p w:rsidR="00BD26BC" w:rsidRDefault="00BD26BC">
        <w:pPr>
          <w:pStyle w:val="Footer"/>
          <w:jc w:val="center"/>
        </w:pPr>
        <w:r>
          <w:fldChar w:fldCharType="begin"/>
        </w:r>
        <w:r>
          <w:instrText xml:space="preserve"> PAGE   \* MERGEFORMAT </w:instrText>
        </w:r>
        <w:r>
          <w:fldChar w:fldCharType="separate"/>
        </w:r>
        <w:r w:rsidR="00D574E8">
          <w:rPr>
            <w:noProof/>
          </w:rPr>
          <w:t>4</w:t>
        </w:r>
        <w:r>
          <w:rPr>
            <w:noProof/>
          </w:rPr>
          <w:fldChar w:fldCharType="end"/>
        </w:r>
      </w:p>
    </w:sdtContent>
  </w:sdt>
  <w:p w:rsidR="00BD26BC" w:rsidRDefault="00BD2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12" w:rsidRDefault="00753812" w:rsidP="00BD26BC">
      <w:pPr>
        <w:spacing w:after="0" w:line="240" w:lineRule="auto"/>
      </w:pPr>
      <w:r>
        <w:separator/>
      </w:r>
    </w:p>
  </w:footnote>
  <w:footnote w:type="continuationSeparator" w:id="0">
    <w:p w:rsidR="00753812" w:rsidRDefault="00753812" w:rsidP="00BD26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BC"/>
    <w:rsid w:val="004C13FA"/>
    <w:rsid w:val="006E7FFD"/>
    <w:rsid w:val="00753812"/>
    <w:rsid w:val="007F6D96"/>
    <w:rsid w:val="0098570B"/>
    <w:rsid w:val="00BD26BC"/>
    <w:rsid w:val="00D574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26BC"/>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D26BC"/>
    <w:rPr>
      <w:b/>
      <w:bCs/>
    </w:rPr>
  </w:style>
  <w:style w:type="paragraph" w:styleId="Header">
    <w:name w:val="header"/>
    <w:basedOn w:val="Normal"/>
    <w:link w:val="HeaderChar"/>
    <w:uiPriority w:val="99"/>
    <w:unhideWhenUsed/>
    <w:rsid w:val="00BD2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6BC"/>
  </w:style>
  <w:style w:type="paragraph" w:styleId="Footer">
    <w:name w:val="footer"/>
    <w:basedOn w:val="Normal"/>
    <w:link w:val="FooterChar"/>
    <w:uiPriority w:val="99"/>
    <w:unhideWhenUsed/>
    <w:rsid w:val="00BD2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6BC"/>
  </w:style>
  <w:style w:type="character" w:styleId="LineNumber">
    <w:name w:val="line number"/>
    <w:basedOn w:val="DefaultParagraphFont"/>
    <w:uiPriority w:val="99"/>
    <w:semiHidden/>
    <w:unhideWhenUsed/>
    <w:rsid w:val="00BD2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26BC"/>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D26BC"/>
    <w:rPr>
      <w:b/>
      <w:bCs/>
    </w:rPr>
  </w:style>
  <w:style w:type="paragraph" w:styleId="Header">
    <w:name w:val="header"/>
    <w:basedOn w:val="Normal"/>
    <w:link w:val="HeaderChar"/>
    <w:uiPriority w:val="99"/>
    <w:unhideWhenUsed/>
    <w:rsid w:val="00BD2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6BC"/>
  </w:style>
  <w:style w:type="paragraph" w:styleId="Footer">
    <w:name w:val="footer"/>
    <w:basedOn w:val="Normal"/>
    <w:link w:val="FooterChar"/>
    <w:uiPriority w:val="99"/>
    <w:unhideWhenUsed/>
    <w:rsid w:val="00BD2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6BC"/>
  </w:style>
  <w:style w:type="character" w:styleId="LineNumber">
    <w:name w:val="line number"/>
    <w:basedOn w:val="DefaultParagraphFont"/>
    <w:uiPriority w:val="99"/>
    <w:semiHidden/>
    <w:unhideWhenUsed/>
    <w:rsid w:val="00BD2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1196</Words>
  <Characters>6819</Characters>
  <Application>Microsoft Office Word</Application>
  <DocSecurity>0</DocSecurity>
  <Lines>56</Lines>
  <Paragraphs>15</Paragraphs>
  <ScaleCrop>false</ScaleCrop>
  <Company>Jaam E Jam , Mohsen Khorami</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emdadrayaneh</dc:creator>
  <cp:lastModifiedBy>emdadrayaneh</cp:lastModifiedBy>
  <cp:revision>3</cp:revision>
  <dcterms:created xsi:type="dcterms:W3CDTF">2021-10-31T07:03:00Z</dcterms:created>
  <dcterms:modified xsi:type="dcterms:W3CDTF">2021-10-31T07:10:00Z</dcterms:modified>
</cp:coreProperties>
</file>