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Supplement</w:t>
      </w:r>
    </w:p>
    <w:p>
      <w:pPr>
        <w:rPr>
          <w:rFonts w:hint="eastAsia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Table1. </w:t>
      </w:r>
      <w:bookmarkStart w:id="0" w:name="_GoBack"/>
      <w:r>
        <w:rPr>
          <w:rFonts w:hint="eastAsia"/>
          <w:sz w:val="28"/>
          <w:szCs w:val="36"/>
          <w:lang w:eastAsia="zh-CN"/>
        </w:rPr>
        <w:t>The detail information</w:t>
      </w:r>
      <w:r>
        <w:rPr>
          <w:rFonts w:hint="eastAsia"/>
          <w:sz w:val="28"/>
          <w:szCs w:val="36"/>
          <w:lang w:val="en-US" w:eastAsia="zh-CN"/>
        </w:rPr>
        <w:t xml:space="preserve"> of </w:t>
      </w:r>
      <w:r>
        <w:rPr>
          <w:rFonts w:hint="eastAsia"/>
          <w:sz w:val="28"/>
          <w:szCs w:val="36"/>
          <w:lang w:eastAsia="zh-CN"/>
        </w:rPr>
        <w:t>antibodies</w:t>
      </w:r>
      <w:bookmarkEnd w:id="0"/>
      <w:r>
        <w:rPr>
          <w:rFonts w:hint="eastAsia"/>
          <w:lang w:eastAsia="zh-CN"/>
        </w:rPr>
        <w:t xml:space="preserve"> </w:t>
      </w:r>
    </w:p>
    <w:tbl>
      <w:tblPr>
        <w:tblStyle w:val="3"/>
        <w:tblpPr w:leftFromText="181" w:rightFromText="181" w:vertAnchor="page" w:horzAnchor="page" w:tblpX="1649" w:tblpY="2761"/>
        <w:tblOverlap w:val="never"/>
        <w:tblW w:w="865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1"/>
        <w:gridCol w:w="2352"/>
        <w:gridCol w:w="311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3191" w:type="dxa"/>
            <w:tcBorders>
              <w:bottom w:val="single" w:color="000000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jc w:val="left"/>
              <w:rPr>
                <w:rFonts w:hint="default" w:ascii="Georgia" w:hAnsi="Georgia" w:eastAsia="Georgia" w:cs="Georgia"/>
                <w:b/>
                <w:bCs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Georgia" w:hAnsi="Georgia" w:eastAsia="Georgia" w:cs="Georgia"/>
                <w:b/>
                <w:bCs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Name</w:t>
            </w:r>
          </w:p>
        </w:tc>
        <w:tc>
          <w:tcPr>
            <w:tcW w:w="2352" w:type="dxa"/>
            <w:tcBorders>
              <w:bottom w:val="single" w:color="000000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jc w:val="left"/>
              <w:rPr>
                <w:rFonts w:hint="eastAsia" w:ascii="Georgia" w:hAnsi="Georgia" w:eastAsia="Georgia" w:cs="Georgia"/>
                <w:b/>
                <w:bCs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Georgia" w:hAnsi="Georgia" w:eastAsia="Georgia" w:cs="Georgia"/>
                <w:b/>
                <w:bCs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Dilution</w:t>
            </w:r>
            <w:r>
              <w:rPr>
                <w:rFonts w:hint="eastAsia" w:ascii="Georgia" w:hAnsi="Georgia" w:eastAsia="Georgia" w:cs="Georgia"/>
                <w:b/>
                <w:bCs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/</w:t>
            </w:r>
          </w:p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jc w:val="left"/>
              <w:rPr>
                <w:rFonts w:hint="default" w:ascii="Georgia" w:hAnsi="Georgia" w:eastAsia="Georgia" w:cs="Georgia"/>
                <w:b/>
                <w:bCs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Georgia" w:hAnsi="Georgia" w:eastAsia="Georgia" w:cs="Georgia"/>
                <w:b/>
                <w:bCs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Concentration</w:t>
            </w:r>
          </w:p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jc w:val="left"/>
              <w:rPr>
                <w:rFonts w:hint="default" w:ascii="Georgia" w:hAnsi="Georgia" w:eastAsia="Georgia" w:cs="Georgia"/>
                <w:b/>
                <w:bCs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16" w:type="dxa"/>
            <w:tcBorders>
              <w:bottom w:val="single" w:color="000000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jc w:val="left"/>
              <w:rPr>
                <w:rFonts w:hint="default" w:ascii="Georgia" w:hAnsi="Georgia" w:eastAsia="Georgia" w:cs="Georgia"/>
                <w:b/>
                <w:bCs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Georgia" w:hAnsi="Georgia" w:eastAsia="Georgia" w:cs="Georgia"/>
                <w:b/>
                <w:bCs/>
                <w:i w:val="0"/>
                <w:caps w:val="0"/>
                <w:color w:val="2E2E2E"/>
                <w:spacing w:val="0"/>
                <w:sz w:val="21"/>
                <w:szCs w:val="21"/>
                <w:u w:val="none"/>
              </w:rPr>
              <w:t>Company Cat # and RRID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3191" w:type="dxa"/>
            <w:tcBorders>
              <w:top w:val="single" w:color="000000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Rabbit anti-OCT4 </w:t>
            </w:r>
          </w:p>
        </w:tc>
        <w:tc>
          <w:tcPr>
            <w:tcW w:w="2352" w:type="dxa"/>
            <w:tcBorders>
              <w:top w:val="single" w:color="000000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1:200</w:t>
            </w:r>
          </w:p>
        </w:tc>
        <w:tc>
          <w:tcPr>
            <w:tcW w:w="3116" w:type="dxa"/>
            <w:tcBorders>
              <w:top w:val="single" w:color="000000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lang w:val="en-US" w:eastAsia="zh-CN"/>
              </w:rPr>
              <w:t xml:space="preserve">Abcam Cat# ab18976, RRID:AB_444714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319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Mouse anti-NESTIN 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1:200</w:t>
            </w:r>
          </w:p>
        </w:tc>
        <w:tc>
          <w:tcPr>
            <w:tcW w:w="311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Abcam Cat# ab6320, RRID:AB_308832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319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Georgia" w:hAnsi="Georgia" w:eastAsia="Georgia" w:cs="Georgia"/>
                <w:b w:val="0"/>
                <w:bCs w:val="0"/>
                <w:i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A</w:t>
            </w:r>
            <w:r>
              <w:rPr>
                <w:rFonts w:hint="eastAsia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nti-SOX2 antibody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1:500</w:t>
            </w:r>
          </w:p>
        </w:tc>
        <w:tc>
          <w:tcPr>
            <w:tcW w:w="311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lang w:val="en-US" w:eastAsia="zh-CN"/>
              </w:rPr>
              <w:t>Abcam Cat# ab97959, RRID:AB_2341193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319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Mouse anti-PAX6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1:200</w:t>
            </w:r>
          </w:p>
        </w:tc>
        <w:tc>
          <w:tcPr>
            <w:tcW w:w="311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 xml:space="preserve">Abcam Cat# ab78545, RRID:AB_1566562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19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Nuclei antibody [235-1]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1:200</w:t>
            </w:r>
          </w:p>
        </w:tc>
        <w:tc>
          <w:tcPr>
            <w:tcW w:w="311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lang w:val="en-US" w:eastAsia="zh-CN"/>
              </w:rPr>
              <w:t>GeneTex Cat# GTX82624, RRID:AB_11162242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19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GFAP Polyclonal Antibody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left"/>
              <w:rPr>
                <w:rFonts w:hint="eastAsia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eastAsia="zh-CN"/>
              </w:rPr>
              <w:t>1:300</w:t>
            </w:r>
          </w:p>
        </w:tc>
        <w:tc>
          <w:tcPr>
            <w:tcW w:w="311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left"/>
              <w:rPr>
                <w:rFonts w:hint="eastAsia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Thermo Fisher Scientific Cat# PA5-85109, RRID:AB_2792257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19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Neuron specific beta III Tubulin antibody - Neuronal Marker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eastAsia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1:300</w:t>
            </w:r>
          </w:p>
        </w:tc>
        <w:tc>
          <w:tcPr>
            <w:tcW w:w="311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eastAsia" w:ascii="Georgia" w:hAnsi="Georgia" w:eastAsia="frutilicn" w:cs="Georgia"/>
                <w:b w:val="0"/>
                <w:bCs w:val="0"/>
                <w:i w:val="0"/>
                <w:caps w:val="0"/>
                <w:color w:val="585854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Abcam Cat# ab18207, RRID:AB_444319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19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Goat anti-Rabbit IgG (H+L) Cross-Adsorbed Secondary Antibody, FITC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eastAsia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1:100</w:t>
            </w:r>
          </w:p>
        </w:tc>
        <w:tc>
          <w:tcPr>
            <w:tcW w:w="311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eastAsia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sz w:val="21"/>
                <w:szCs w:val="21"/>
                <w:u w:val="none"/>
              </w:rPr>
              <w:t>Thermo Fisher Scientific Cat# F-2765, RRID:AB_2536525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19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Goat anti-Mouse IgG (H+L) Secondary Antibody, DyLight 594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eastAsia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1:200</w:t>
            </w:r>
          </w:p>
        </w:tc>
        <w:tc>
          <w:tcPr>
            <w:tcW w:w="311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eastAsia" w:ascii="Georgia" w:hAnsi="Georgia" w:eastAsia="Helvetica" w:cs="Georgia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Georgia" w:hAnsi="Georgia" w:eastAsia="Helvetica" w:cs="Georgia"/>
                <w:b w:val="0"/>
                <w:bCs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  <w:t>Thermo Fisher Scientific Cat# 35510, RRID:AB_1185569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19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ProLong® Gold Antifade Reagent with DAPI #8961</w:t>
            </w:r>
          </w:p>
        </w:tc>
        <w:tc>
          <w:tcPr>
            <w:tcW w:w="2352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eastAsia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——</w:t>
            </w:r>
          </w:p>
        </w:tc>
        <w:tc>
          <w:tcPr>
            <w:tcW w:w="3116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2308"/>
              </w:tabs>
              <w:bidi w:val="0"/>
              <w:ind w:left="0" w:leftChars="0" w:firstLine="0" w:firstLineChars="0"/>
              <w:jc w:val="left"/>
              <w:rPr>
                <w:rFonts w:hint="eastAsia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Georgia" w:hAnsi="Georgia" w:eastAsia="Georgia" w:cs="Georgia"/>
                <w:b w:val="0"/>
                <w:bCs w:val="0"/>
                <w:i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C</w:t>
            </w:r>
            <w:r>
              <w:rPr>
                <w:rFonts w:hint="eastAsia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ell signaling, Cat</w:t>
            </w:r>
            <w:r>
              <w:rPr>
                <w:rFonts w:hint="default" w:ascii="Georgia" w:hAnsi="Georgia" w:eastAsia="Georgia" w:cs="Georgia"/>
                <w:b w:val="0"/>
                <w:bCs w:val="0"/>
                <w:i w:val="0"/>
                <w:caps w:val="0"/>
                <w:color w:val="2E2E2E"/>
                <w:spacing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#8961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dvOT596495f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frutili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279D1"/>
    <w:rsid w:val="170A52D8"/>
    <w:rsid w:val="2B25627C"/>
    <w:rsid w:val="38D51C5C"/>
    <w:rsid w:val="3A4C0E2A"/>
    <w:rsid w:val="469865E4"/>
    <w:rsid w:val="4C52435C"/>
    <w:rsid w:val="65701A73"/>
    <w:rsid w:val="69D50F88"/>
    <w:rsid w:val="720B6A9F"/>
    <w:rsid w:val="7F62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style01"/>
    <w:basedOn w:val="4"/>
    <w:qFormat/>
    <w:uiPriority w:val="0"/>
    <w:rPr>
      <w:rFonts w:ascii="AdvOT596495f2" w:hAnsi="AdvOT596495f2" w:eastAsia="AdvOT596495f2" w:cs="AdvOT596495f2"/>
      <w:color w:val="000000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2020-08-11T09:41:00Z</dcterms:created>
  <dc:creator>Admin</dc:creator>
  <cp:lastModifiedBy>kds</cp:lastModifiedBy>
  <dcterms:modified xsi:type="dcterms:W3CDTF">2020-09-12T15:01:55Z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