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bookmarkStart w:id="0" w:name="_GoBack"/>
      <w:bookmarkEnd w:id="0"/>
      <w:r>
        <w:drawing>
          <wp:inline distT="0" distB="0" distL="0" distR="0">
            <wp:extent cx="5337810" cy="3887470"/>
            <wp:effectExtent l="0" t="0" r="152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Figure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1. The flow-chart of the study</w:t>
      </w:r>
      <w:r>
        <w:rPr>
          <w:sz w:val="24"/>
          <w:szCs w:val="24"/>
        </w:rPr>
        <w:t>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t xml:space="preserve">Note:  For patients who relapsed during follow up, the study treatment was stopped and patients were referred to appropriate alternative treatments and followed up for cost data collection. csDMARDs: </w:t>
      </w:r>
      <w:r>
        <w:rPr>
          <w:rFonts w:hint="eastAsia"/>
        </w:rPr>
        <w:t>conventional synthetic disease-modifying antirheumatic drugs</w:t>
      </w:r>
      <w:r>
        <w:t xml:space="preserve">; MTX: methotrexate; CR: clinical remission; LDA: low disease activity; HCQ: </w:t>
      </w:r>
      <w:r>
        <w:rPr>
          <w:rFonts w:hint="eastAsia"/>
        </w:rPr>
        <w:t>hydroxychloroquine</w:t>
      </w:r>
      <w:r>
        <w:t>; SSZ: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ulfasalazine</w:t>
      </w:r>
      <w:r>
        <w:t>.</w:t>
      </w:r>
      <w:r>
        <w:rPr>
          <w:rFonts w:hint="eastAsia"/>
        </w:rPr>
        <w:t> </w:t>
      </w:r>
    </w:p>
    <w:p>
      <w:r>
        <w:rPr>
          <w:rFonts w:hint="eastAsia"/>
        </w:rPr>
        <w:br w:type="page"/>
      </w:r>
    </w:p>
    <w:p>
      <w:r>
        <w:drawing>
          <wp:inline distT="0" distB="0" distL="0" distR="0">
            <wp:extent cx="4592320" cy="2846070"/>
            <wp:effectExtent l="0" t="0" r="1778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6265" cy="28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rPr>
          <w:rFonts w:hint="eastAsia"/>
          <w:sz w:val="24"/>
          <w:szCs w:val="24"/>
        </w:rPr>
        <w:t>Figure S2. The decision tree model of the study.</w:t>
      </w:r>
      <w:r>
        <w:t xml:space="preserve"> RA: Rheumatoid Arthritis; MTX: methotrexate; HCQ: </w:t>
      </w:r>
      <w:r>
        <w:rPr>
          <w:rFonts w:hint="eastAsia"/>
        </w:rPr>
        <w:t>hydroxychloroquine</w:t>
      </w:r>
      <w:r>
        <w:t>; SSZ: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ulfasalazine</w:t>
      </w:r>
      <w:r>
        <w:t>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</w:p>
    <w:p>
      <w:pPr>
        <w:spacing w:line="360" w:lineRule="auto"/>
        <w:ind w:right="-632" w:rightChars="-301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6"/>
        <w:autoSpaceDE w:val="0"/>
        <w:autoSpaceDN w:val="0"/>
        <w:adjustRightInd w:val="0"/>
        <w:spacing w:line="360" w:lineRule="auto"/>
        <w:ind w:right="-212" w:rightChars="-101" w:firstLine="0" w:firstLineChars="0"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1320800</wp:posOffset>
                </wp:positionV>
                <wp:extent cx="247650" cy="2667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B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4pt;margin-top:104pt;height:21pt;width:19.5pt;z-index:251659264;mso-width-relative:page;mso-height-relative:page;" fillcolor="#FFFFFF [3201]" filled="t" stroked="f" coordsize="21600,21600" o:gfxdata="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cS6PrVAAAACwEAAA8AAAAA&#10;AAAAAQAgAAAAIgAAAGRycy9kb3ducmV2LnhtbFBLAQIUABQAAAAIAIdO4kB+egX5UAIAAJA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</w:rPr>
                        <w:t>B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1327150</wp:posOffset>
                </wp:positionV>
                <wp:extent cx="247650" cy="2667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4680" y="653288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9pt;margin-top:104.5pt;height:21pt;width:19.5pt;z-index:251658240;mso-width-relative:page;mso-height-relative:page;" fillcolor="#FFFFFF [3201]" filled="t" stroked="f" coordsize="21600,21600" o:gfxdata="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7VWqNYA&#10;AAALAQAADwAAAAAAAAABACAAAAAiAAAAZHJzL2Rvd25yZXYueG1sUEsBAhQAFAAAAAgAh07iQMVU&#10;oTBaAgAAnA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762885" cy="1659890"/>
            <wp:effectExtent l="0" t="0" r="18415" b="16510"/>
            <wp:docPr id="11" name="4" descr="slide1_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" descr="slide1_imag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37790" cy="1584960"/>
            <wp:effectExtent l="0" t="0" r="10160" b="15240"/>
            <wp:docPr id="12" name="4" descr="slide1_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" descr="slide1_imag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rPr>
          <w:rFonts w:hint="eastAsia"/>
          <w:sz w:val="24"/>
          <w:szCs w:val="24"/>
        </w:rPr>
        <w:t xml:space="preserve">Figure S3. Direct cost-effectiveness analysis (A) and total cost-effectiveness analysis (B) . </w:t>
      </w:r>
      <w:r>
        <w:t xml:space="preserve">MTX: methotrexate; HCQ: </w:t>
      </w:r>
      <w:r>
        <w:rPr>
          <w:rFonts w:hint="eastAsia"/>
        </w:rPr>
        <w:t>hydroxychloroquine</w:t>
      </w:r>
      <w:r>
        <w:t>; SSZ: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ulfasalazine</w:t>
      </w:r>
      <w:r>
        <w:t>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drawing>
          <wp:inline distT="0" distB="0" distL="114300" distR="114300">
            <wp:extent cx="5133340" cy="2269490"/>
            <wp:effectExtent l="0" t="0" r="10160" b="1651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rPr>
          <w:rFonts w:hint="eastAsia"/>
          <w:sz w:val="24"/>
          <w:szCs w:val="24"/>
        </w:rPr>
        <w:t>Figure S4. tornado chart of one-way sensitivity analysis of cost of each drug.</w:t>
      </w:r>
      <w:r>
        <w:t xml:space="preserve"> MTX: methotrexate; HCQ: </w:t>
      </w:r>
      <w:r>
        <w:rPr>
          <w:rFonts w:hint="eastAsia"/>
        </w:rPr>
        <w:t>hydroxychloroquine</w:t>
      </w:r>
      <w:r>
        <w:t>; SSZ: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ulfasalazine</w:t>
      </w:r>
      <w:r>
        <w:t>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drawing>
          <wp:inline distT="0" distB="0" distL="114300" distR="114300">
            <wp:extent cx="5486400" cy="3362325"/>
            <wp:effectExtent l="0" t="0" r="0" b="9525"/>
            <wp:docPr id="15" name="6" descr="slide1_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" descr="slide1_image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rPr>
          <w:rFonts w:hint="eastAsia"/>
          <w:sz w:val="24"/>
          <w:szCs w:val="24"/>
        </w:rPr>
        <w:t xml:space="preserve">Figure </w:t>
      </w:r>
      <w:r>
        <w:rPr>
          <w:sz w:val="24"/>
          <w:szCs w:val="24"/>
        </w:rPr>
        <w:t>S5</w:t>
      </w:r>
      <w:r>
        <w:rPr>
          <w:rFonts w:hint="eastAsia"/>
          <w:sz w:val="24"/>
          <w:szCs w:val="24"/>
        </w:rPr>
        <w:t>. O</w:t>
      </w:r>
      <w:r>
        <w:rPr>
          <w:sz w:val="24"/>
          <w:szCs w:val="24"/>
        </w:rPr>
        <w:t>ne-way sensitivity analys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of cost of TNFi of net monetary benefit of utility.</w:t>
      </w:r>
      <w:r>
        <w:t xml:space="preserve"> MTX: methotrexate; HCQ: </w:t>
      </w:r>
      <w:r>
        <w:rPr>
          <w:rFonts w:hint="eastAsia"/>
        </w:rPr>
        <w:t>hydroxychloroquine</w:t>
      </w:r>
      <w:r>
        <w:t>; SSZ: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ulfasalazine</w:t>
      </w:r>
      <w:r>
        <w:t>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drawing>
          <wp:inline distT="0" distB="0" distL="114300" distR="114300">
            <wp:extent cx="5486400" cy="3362325"/>
            <wp:effectExtent l="0" t="0" r="0" b="9525"/>
            <wp:docPr id="7" name="6" descr="slide1_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" descr="slide1_image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rPr>
          <w:rFonts w:hint="eastAsia"/>
          <w:sz w:val="24"/>
          <w:szCs w:val="24"/>
        </w:rPr>
        <w:t xml:space="preserve">Figure </w:t>
      </w:r>
      <w:r>
        <w:rPr>
          <w:sz w:val="24"/>
          <w:szCs w:val="24"/>
        </w:rPr>
        <w:t>S6</w:t>
      </w:r>
      <w:r>
        <w:rPr>
          <w:rFonts w:hint="eastAsia"/>
          <w:sz w:val="24"/>
          <w:szCs w:val="24"/>
        </w:rPr>
        <w:t>. O</w:t>
      </w:r>
      <w:r>
        <w:rPr>
          <w:sz w:val="24"/>
          <w:szCs w:val="24"/>
        </w:rPr>
        <w:t>ne-way sensitivity analys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of cost of YiSaiPu of net monetary benefit of effectiveness.</w:t>
      </w:r>
      <w:r>
        <w:t xml:space="preserve"> MTX: methotrexate; HCQ: </w:t>
      </w:r>
      <w:r>
        <w:rPr>
          <w:rFonts w:hint="eastAsia"/>
        </w:rPr>
        <w:t>hydroxychloroquine</w:t>
      </w:r>
      <w:r>
        <w:t>; SSZ: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ulfasalazine</w:t>
      </w:r>
      <w:r>
        <w:t>.</w:t>
      </w: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202E3"/>
    <w:rsid w:val="703C179F"/>
    <w:rsid w:val="73F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2021-02-21T01:41:00Z</dcterms:created>
  <dc:creator>think</dc:creator>
  <cp:lastModifiedBy>think</cp:lastModifiedBy>
  <dcterms:modified xsi:type="dcterms:W3CDTF">2021-05-31T03:11:25Z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