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8" w:rsidRPr="00ED7936" w:rsidRDefault="00A24878" w:rsidP="00A24878">
      <w:pPr>
        <w:spacing w:line="480" w:lineRule="auto"/>
        <w:rPr>
          <w:rFonts w:ascii="Calibri" w:hAnsi="Calibri" w:cs="Calibri"/>
          <w:b/>
          <w:bCs/>
          <w:color w:val="000000" w:themeColor="text1"/>
          <w:sz w:val="24"/>
          <w:szCs w:val="24"/>
        </w:rPr>
      </w:pPr>
      <w:r w:rsidRPr="00ED7936">
        <w:rPr>
          <w:rFonts w:ascii="Calibri" w:hAnsi="Calibri" w:cs="Calibri"/>
          <w:b/>
          <w:bCs/>
          <w:color w:val="000000" w:themeColor="text1"/>
          <w:sz w:val="24"/>
          <w:szCs w:val="24"/>
        </w:rPr>
        <w:t>Supplementary Material</w:t>
      </w:r>
    </w:p>
    <w:p w:rsidR="00A24878" w:rsidRPr="00ED7936" w:rsidRDefault="00A24878" w:rsidP="00A24878">
      <w:pPr>
        <w:spacing w:line="480" w:lineRule="auto"/>
        <w:rPr>
          <w:rFonts w:ascii="Calibri" w:hAnsi="Calibri" w:cs="Calibri"/>
          <w:b/>
          <w:bCs/>
          <w:color w:val="000000" w:themeColor="text1"/>
          <w:sz w:val="24"/>
          <w:szCs w:val="24"/>
        </w:rPr>
      </w:pPr>
      <w:r w:rsidRPr="00ED7936">
        <w:rPr>
          <w:rFonts w:ascii="Calibri" w:hAnsi="Calibri" w:cs="Calibri"/>
          <w:b/>
          <w:bCs/>
          <w:color w:val="000000" w:themeColor="text1"/>
          <w:sz w:val="24"/>
          <w:szCs w:val="24"/>
        </w:rPr>
        <w:t>Material and Methods</w:t>
      </w:r>
    </w:p>
    <w:p w:rsidR="00A24878" w:rsidRPr="00ED7936" w:rsidRDefault="00A24878" w:rsidP="00A24878">
      <w:pPr>
        <w:spacing w:line="480" w:lineRule="auto"/>
        <w:rPr>
          <w:rFonts w:ascii="Calibri" w:hAnsi="Calibri" w:cs="Calibri"/>
          <w:b/>
          <w:bCs/>
          <w:color w:val="000000" w:themeColor="text1"/>
          <w:sz w:val="24"/>
          <w:szCs w:val="24"/>
        </w:rPr>
      </w:pPr>
      <w:r w:rsidRPr="00ED7936">
        <w:rPr>
          <w:rFonts w:ascii="Calibri" w:hAnsi="Calibri" w:cs="Calibri"/>
          <w:b/>
          <w:bCs/>
          <w:i/>
          <w:iCs/>
          <w:color w:val="000000" w:themeColor="text1"/>
          <w:sz w:val="24"/>
          <w:szCs w:val="24"/>
        </w:rPr>
        <w:t>Ex vivo</w:t>
      </w:r>
      <w:r w:rsidRPr="00ED7936">
        <w:rPr>
          <w:rFonts w:ascii="Calibri" w:hAnsi="Calibri" w:cs="Calibri"/>
          <w:b/>
          <w:bCs/>
          <w:color w:val="000000" w:themeColor="text1"/>
          <w:sz w:val="24"/>
          <w:szCs w:val="24"/>
        </w:rPr>
        <w:t xml:space="preserve"> MRI</w:t>
      </w:r>
    </w:p>
    <w:p w:rsidR="00A24878" w:rsidRPr="002A770D" w:rsidRDefault="00A24878" w:rsidP="00A24878">
      <w:pPr>
        <w:spacing w:line="480" w:lineRule="auto"/>
        <w:rPr>
          <w:rFonts w:ascii="Calibri" w:hAnsi="Calibri" w:cs="Calibri"/>
          <w:color w:val="000000" w:themeColor="text1"/>
          <w:sz w:val="24"/>
          <w:szCs w:val="24"/>
        </w:rPr>
      </w:pPr>
      <w:r w:rsidRPr="002A770D">
        <w:rPr>
          <w:rFonts w:ascii="Calibri" w:eastAsia="Times New Roman" w:hAnsi="Calibri" w:cs="Calibri"/>
          <w:color w:val="000000" w:themeColor="text1"/>
          <w:sz w:val="24"/>
          <w:szCs w:val="24"/>
        </w:rPr>
        <w:t xml:space="preserve">To minimize artifact on QSM maps, we selected three subjects with the least hemorrhage for </w:t>
      </w:r>
      <w:r w:rsidRPr="002A770D">
        <w:rPr>
          <w:rFonts w:ascii="Calibri" w:eastAsia="Times New Roman" w:hAnsi="Calibri" w:cs="Calibri"/>
          <w:i/>
          <w:iCs/>
          <w:color w:val="000000" w:themeColor="text1"/>
          <w:sz w:val="24"/>
          <w:szCs w:val="24"/>
        </w:rPr>
        <w:t>ex vivo</w:t>
      </w:r>
      <w:r w:rsidRPr="002A770D">
        <w:rPr>
          <w:rFonts w:ascii="Calibri" w:eastAsia="Times New Roman" w:hAnsi="Calibri" w:cs="Calibri"/>
          <w:color w:val="000000" w:themeColor="text1"/>
          <w:sz w:val="24"/>
          <w:szCs w:val="24"/>
        </w:rPr>
        <w:t xml:space="preserve"> imaging. </w:t>
      </w:r>
      <w:r w:rsidRPr="002A770D">
        <w:rPr>
          <w:rFonts w:ascii="Calibri" w:hAnsi="Calibri" w:cs="Calibri"/>
          <w:color w:val="000000" w:themeColor="text1"/>
          <w:sz w:val="24"/>
          <w:szCs w:val="24"/>
        </w:rPr>
        <w:t>Before imaging, excess paraffin was subsequently cut away from each sample which was then removed from its embedding cassette using a scalpe</w:t>
      </w:r>
      <w:r>
        <w:t>l (</w:t>
      </w:r>
      <w:r>
        <w:rPr>
          <w:rFonts w:ascii="Calibri" w:hAnsi="Calibri" w:cs="Calibri"/>
          <w:color w:val="000000" w:themeColor="text1"/>
          <w:sz w:val="24"/>
          <w:szCs w:val="24"/>
        </w:rPr>
        <w:t>Supplementary figure 1-A</w:t>
      </w:r>
      <w:r w:rsidRPr="009E6B85">
        <w:rPr>
          <w:rFonts w:ascii="Calibri" w:hAnsi="Calibri" w:cs="Calibri"/>
          <w:color w:val="000000" w:themeColor="text1"/>
          <w:sz w:val="24"/>
          <w:szCs w:val="24"/>
        </w:rPr>
        <w:t>)</w:t>
      </w:r>
      <w:r w:rsidRPr="002A770D">
        <w:rPr>
          <w:rFonts w:ascii="Calibri" w:hAnsi="Calibri" w:cs="Calibri"/>
          <w:color w:val="000000" w:themeColor="text1"/>
          <w:sz w:val="24"/>
          <w:szCs w:val="24"/>
        </w:rPr>
        <w:t>. The sample was then placed on a 3D printed loading stage and lowered into a 20 mm NMR tube (Supplementary figure 1-B). The stage served the dual purpose of aiding the mobility of the sample in and out of the imaging tube, as well as acting as a buffer between the NMR tube glass and sample. The magnetic susceptibility of the sample was closer to that of the stage than the glass of the NMR tube, which served to limit MRI artifact during imaging. The tube was then placed into a larger 25-mm NMR tube (</w:t>
      </w:r>
      <w:r w:rsidRPr="009E6B85">
        <w:rPr>
          <w:rFonts w:ascii="Calibri" w:hAnsi="Calibri" w:cs="Calibri"/>
          <w:color w:val="000000" w:themeColor="text1"/>
          <w:sz w:val="24"/>
          <w:szCs w:val="24"/>
        </w:rPr>
        <w:t>Supplementary figure 1-</w:t>
      </w:r>
      <w:r>
        <w:rPr>
          <w:rFonts w:ascii="Calibri" w:hAnsi="Calibri" w:cs="Calibri"/>
          <w:color w:val="000000" w:themeColor="text1"/>
          <w:sz w:val="24"/>
          <w:szCs w:val="24"/>
        </w:rPr>
        <w:t>C,</w:t>
      </w:r>
      <w:r w:rsidRPr="009E6B85">
        <w:rPr>
          <w:rFonts w:ascii="Calibri" w:hAnsi="Calibri" w:cs="Calibri"/>
          <w:color w:val="000000" w:themeColor="text1"/>
          <w:sz w:val="24"/>
          <w:szCs w:val="24"/>
        </w:rPr>
        <w:t xml:space="preserve"> </w:t>
      </w:r>
      <w:r w:rsidRPr="002A770D">
        <w:rPr>
          <w:rFonts w:ascii="Calibri" w:hAnsi="Calibri" w:cs="Calibri"/>
          <w:color w:val="000000" w:themeColor="text1"/>
          <w:sz w:val="24"/>
          <w:szCs w:val="24"/>
        </w:rPr>
        <w:t>C) and subsequently inserted into a wide-bore vertical-bore 9.4T micro-imaging system (Bruker Inc.) through the stack at the top of the system (E). TurboRARE imaging was aquired with the follow parameters: TR = 2500 msec</w:t>
      </w:r>
      <w:r w:rsidRPr="002A770D">
        <w:rPr>
          <w:rFonts w:ascii="Calibri" w:hAnsi="Calibri" w:cs="Calibri"/>
          <w:color w:val="000000" w:themeColor="text1"/>
          <w:sz w:val="24"/>
          <w:szCs w:val="24"/>
          <w:vertAlign w:val="superscript"/>
        </w:rPr>
        <w:t>2</w:t>
      </w:r>
      <w:r w:rsidRPr="002A770D">
        <w:rPr>
          <w:rFonts w:ascii="Calibri" w:hAnsi="Calibri" w:cs="Calibri"/>
          <w:color w:val="000000" w:themeColor="text1"/>
          <w:sz w:val="24"/>
          <w:szCs w:val="24"/>
        </w:rPr>
        <w:t>, TE= 30 msec, slice thickness = 0.5 mm, flip angle (FA) = 90, averages = 6. Additional imaging included 3D multiecho GRE (TR = 50 msec</w:t>
      </w:r>
      <w:r w:rsidRPr="002A770D">
        <w:rPr>
          <w:rFonts w:ascii="Calibri" w:hAnsi="Calibri" w:cs="Calibri"/>
          <w:color w:val="000000" w:themeColor="text1"/>
          <w:sz w:val="24"/>
          <w:szCs w:val="24"/>
          <w:vertAlign w:val="superscript"/>
        </w:rPr>
        <w:t>2</w:t>
      </w:r>
      <w:r w:rsidRPr="002A770D">
        <w:rPr>
          <w:rFonts w:ascii="Calibri" w:hAnsi="Calibri" w:cs="Calibri"/>
          <w:color w:val="000000" w:themeColor="text1"/>
          <w:sz w:val="24"/>
          <w:szCs w:val="24"/>
        </w:rPr>
        <w:t>, TE= 1.58/2.89/4.2/5.51/6.82/8.13/9.44/10.75/12.06/13.37 msec, slice thickness = 0.2 mm, flip angle (FA) = 15, averages = 6).</w:t>
      </w:r>
    </w:p>
    <w:p w:rsidR="00A24878" w:rsidRDefault="00A24878" w:rsidP="00A24878">
      <w:pPr>
        <w:spacing w:line="480" w:lineRule="auto"/>
        <w:rPr>
          <w:rFonts w:ascii="Calibri" w:eastAsia="Times New Roman" w:hAnsi="Calibri" w:cs="Calibri"/>
          <w:color w:val="000000" w:themeColor="text1"/>
          <w:sz w:val="24"/>
          <w:szCs w:val="24"/>
        </w:rPr>
      </w:pPr>
      <w:r w:rsidRPr="002A770D">
        <w:rPr>
          <w:rFonts w:ascii="Calibri" w:hAnsi="Calibri" w:cs="Calibri"/>
          <w:color w:val="000000" w:themeColor="text1"/>
          <w:sz w:val="24"/>
          <w:szCs w:val="24"/>
        </w:rPr>
        <w:t xml:space="preserve">To maintain the sample’s temperature a ~60ºC, the gradient insert was heated using the built-in water-based heater and was set to its warmest setting at 49ºC. The sample was further warmed by an additional heater water bath where the water was circulated in the gap between the 20 and 25-mm NMR tubes (D) </w:t>
      </w:r>
      <w:r w:rsidRPr="00ED7936">
        <w:rPr>
          <w:rFonts w:ascii="Calibri" w:hAnsi="Calibri" w:cs="Calibri"/>
          <w:color w:val="000000" w:themeColor="text1"/>
          <w:sz w:val="24"/>
          <w:szCs w:val="24"/>
        </w:rPr>
        <w:t xml:space="preserve">around the sample using two peristaltic pumps at a rate of 200ml/min. Temperature of the water around the sample was monitored using a fiber-optic temperature sensor (Small Animal instruments Inc.). Temperature of water-bath was adjusted until the sample’s temperature stabilized at ~60ºC </w:t>
      </w:r>
      <w:r w:rsidRPr="00ED7936">
        <w:rPr>
          <w:rFonts w:ascii="Calibri" w:eastAsia="Times New Roman" w:hAnsi="Calibri" w:cs="Calibri"/>
          <w:color w:val="000000" w:themeColor="text1"/>
          <w:sz w:val="24"/>
          <w:szCs w:val="24"/>
        </w:rPr>
        <w:t>to ensure paraffin melt.</w:t>
      </w:r>
    </w:p>
    <w:p w:rsidR="00A24878" w:rsidRDefault="00A24878" w:rsidP="00A24878">
      <w:pPr>
        <w:spacing w:line="480" w:lineRule="auto"/>
        <w:rPr>
          <w:rFonts w:ascii="Calibri" w:eastAsia="Times New Roman" w:hAnsi="Calibri" w:cs="Calibri"/>
          <w:color w:val="000000" w:themeColor="text1"/>
          <w:sz w:val="24"/>
          <w:szCs w:val="24"/>
        </w:rPr>
      </w:pPr>
      <w:r>
        <w:rPr>
          <w:rFonts w:ascii="Calibri" w:eastAsia="Times New Roman" w:hAnsi="Calibri" w:cs="Calibri"/>
          <w:b/>
          <w:color w:val="000000" w:themeColor="text1"/>
          <w:sz w:val="24"/>
          <w:szCs w:val="24"/>
        </w:rPr>
        <w:t>Supplementary f</w:t>
      </w:r>
      <w:r w:rsidRPr="00610862">
        <w:rPr>
          <w:rFonts w:ascii="Calibri" w:eastAsia="Times New Roman" w:hAnsi="Calibri" w:cs="Calibri"/>
          <w:b/>
          <w:color w:val="000000" w:themeColor="text1"/>
          <w:sz w:val="24"/>
          <w:szCs w:val="24"/>
        </w:rPr>
        <w:t>igure 1.</w:t>
      </w:r>
      <w:r w:rsidRPr="00610862">
        <w:rPr>
          <w:rFonts w:ascii="Calibri" w:eastAsia="Times New Roman" w:hAnsi="Calibri" w:cs="Calibri"/>
          <w:color w:val="000000" w:themeColor="text1"/>
          <w:sz w:val="24"/>
          <w:szCs w:val="24"/>
        </w:rPr>
        <w:t xml:space="preserve"> </w:t>
      </w:r>
      <w:r>
        <w:rPr>
          <w:rFonts w:ascii="Calibri" w:eastAsia="Times New Roman" w:hAnsi="Calibri" w:cs="Calibri"/>
          <w:noProof/>
          <w:color w:val="000000" w:themeColor="text1"/>
          <w:sz w:val="24"/>
          <w:szCs w:val="24"/>
        </w:rPr>
        <w:drawing>
          <wp:inline distT="0" distB="0" distL="0" distR="0" wp14:anchorId="6C79BA37" wp14:editId="14E9B390">
            <wp:extent cx="6428164" cy="490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087CF4.tmp"/>
                    <pic:cNvPicPr/>
                  </pic:nvPicPr>
                  <pic:blipFill>
                    <a:blip r:embed="rId4">
                      <a:extLst>
                        <a:ext uri="{28A0092B-C50C-407E-A947-70E740481C1C}">
                          <a14:useLocalDpi xmlns:a14="http://schemas.microsoft.com/office/drawing/2010/main" val="0"/>
                        </a:ext>
                      </a:extLst>
                    </a:blip>
                    <a:stretch>
                      <a:fillRect/>
                    </a:stretch>
                  </pic:blipFill>
                  <pic:spPr>
                    <a:xfrm>
                      <a:off x="0" y="0"/>
                      <a:ext cx="6444163" cy="4917584"/>
                    </a:xfrm>
                    <a:prstGeom prst="rect">
                      <a:avLst/>
                    </a:prstGeom>
                  </pic:spPr>
                </pic:pic>
              </a:graphicData>
            </a:graphic>
          </wp:inline>
        </w:drawing>
      </w:r>
    </w:p>
    <w:p w:rsidR="00A24878" w:rsidRDefault="00A24878" w:rsidP="00A24878">
      <w:pPr>
        <w:spacing w:line="480" w:lineRule="auto"/>
        <w:rPr>
          <w:rFonts w:ascii="Calibri" w:eastAsia="Times New Roman" w:hAnsi="Calibri" w:cs="Calibri"/>
          <w:color w:val="000000" w:themeColor="text1"/>
          <w:sz w:val="24"/>
          <w:szCs w:val="24"/>
        </w:rPr>
      </w:pPr>
    </w:p>
    <w:p w:rsidR="00A24878" w:rsidRDefault="00A24878" w:rsidP="00A24878">
      <w:pPr>
        <w:spacing w:line="480" w:lineRule="auto"/>
        <w:rPr>
          <w:rFonts w:ascii="Calibri" w:eastAsia="Times New Roman" w:hAnsi="Calibri" w:cs="Calibri"/>
          <w:color w:val="000000" w:themeColor="text1"/>
          <w:sz w:val="24"/>
          <w:szCs w:val="24"/>
        </w:rPr>
      </w:pPr>
    </w:p>
    <w:p w:rsidR="00A24878" w:rsidRDefault="00A24878" w:rsidP="00A24878">
      <w:pPr>
        <w:spacing w:line="480" w:lineRule="auto"/>
        <w:rPr>
          <w:rFonts w:ascii="Calibri" w:eastAsia="Times New Roman" w:hAnsi="Calibri" w:cs="Calibri"/>
          <w:color w:val="000000" w:themeColor="text1"/>
          <w:sz w:val="24"/>
          <w:szCs w:val="24"/>
        </w:rPr>
      </w:pPr>
    </w:p>
    <w:p w:rsidR="00A24878" w:rsidRPr="00610862" w:rsidRDefault="00A24878" w:rsidP="00A24878">
      <w:pPr>
        <w:spacing w:line="480" w:lineRule="auto"/>
        <w:rPr>
          <w:rFonts w:ascii="Calibri" w:eastAsia="Times New Roman" w:hAnsi="Calibri" w:cs="Calibri"/>
          <w:b/>
          <w:color w:val="000000" w:themeColor="text1"/>
          <w:sz w:val="24"/>
          <w:szCs w:val="24"/>
        </w:rPr>
      </w:pPr>
      <w:r w:rsidRPr="00610862">
        <w:rPr>
          <w:rFonts w:ascii="Calibri" w:eastAsia="Times New Roman" w:hAnsi="Calibri" w:cs="Calibri"/>
          <w:b/>
          <w:color w:val="000000" w:themeColor="text1"/>
          <w:sz w:val="24"/>
          <w:szCs w:val="24"/>
        </w:rPr>
        <w:t xml:space="preserve">Table -1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A24878" w:rsidRPr="00ED7936" w:rsidTr="00826823">
        <w:trPr>
          <w:jc w:val="center"/>
        </w:trPr>
        <w:tc>
          <w:tcPr>
            <w:tcW w:w="3116" w:type="dxa"/>
            <w:tcBorders>
              <w:bottom w:val="single" w:sz="4" w:space="0" w:color="auto"/>
            </w:tcBorders>
          </w:tcPr>
          <w:p w:rsidR="00A24878" w:rsidRPr="00ED7936" w:rsidRDefault="00A24878" w:rsidP="00826823">
            <w:pPr>
              <w:rPr>
                <w:rFonts w:ascii="Calibri" w:eastAsia="Times New Roman" w:hAnsi="Calibri" w:cs="Calibri"/>
                <w:b/>
                <w:bCs/>
                <w:color w:val="000000" w:themeColor="text1"/>
                <w:sz w:val="24"/>
                <w:szCs w:val="24"/>
              </w:rPr>
            </w:pPr>
            <w:r w:rsidRPr="00ED7936">
              <w:rPr>
                <w:rFonts w:ascii="Calibri" w:eastAsia="Times New Roman" w:hAnsi="Calibri" w:cs="Calibri"/>
                <w:b/>
                <w:bCs/>
                <w:color w:val="000000" w:themeColor="text1"/>
                <w:sz w:val="24"/>
                <w:szCs w:val="24"/>
              </w:rPr>
              <w:t>Parameter (Unit)</w:t>
            </w:r>
          </w:p>
        </w:tc>
        <w:tc>
          <w:tcPr>
            <w:tcW w:w="3117" w:type="dxa"/>
            <w:tcBorders>
              <w:bottom w:val="single" w:sz="4" w:space="0" w:color="auto"/>
            </w:tcBorders>
          </w:tcPr>
          <w:p w:rsidR="00A24878" w:rsidRPr="00ED7936" w:rsidRDefault="00A24878" w:rsidP="00826823">
            <w:pPr>
              <w:jc w:val="center"/>
              <w:rPr>
                <w:rFonts w:ascii="Calibri" w:eastAsia="Times New Roman" w:hAnsi="Calibri" w:cs="Calibri"/>
                <w:b/>
                <w:bCs/>
                <w:color w:val="000000" w:themeColor="text1"/>
                <w:sz w:val="24"/>
                <w:szCs w:val="24"/>
              </w:rPr>
            </w:pPr>
            <w:r w:rsidRPr="00ED7936">
              <w:rPr>
                <w:rFonts w:ascii="Calibri" w:eastAsia="Times New Roman" w:hAnsi="Calibri" w:cs="Calibri"/>
                <w:b/>
                <w:bCs/>
                <w:color w:val="000000" w:themeColor="text1"/>
                <w:sz w:val="24"/>
                <w:szCs w:val="24"/>
              </w:rPr>
              <w:t>Value</w:t>
            </w:r>
          </w:p>
        </w:tc>
      </w:tr>
      <w:tr w:rsidR="00A24878" w:rsidRPr="00ED7936" w:rsidTr="00826823">
        <w:trPr>
          <w:jc w:val="center"/>
        </w:trPr>
        <w:tc>
          <w:tcPr>
            <w:tcW w:w="3116" w:type="dxa"/>
            <w:tcBorders>
              <w:top w:val="single" w:sz="4" w:space="0" w:color="auto"/>
            </w:tcBorders>
          </w:tcPr>
          <w:p w:rsidR="00A24878" w:rsidRPr="00ED7936" w:rsidRDefault="00A24878" w:rsidP="00826823">
            <w:pPr>
              <w:rPr>
                <w:rFonts w:ascii="Calibri" w:eastAsia="Times New Roman" w:hAnsi="Calibri" w:cs="Calibri"/>
                <w:color w:val="000000" w:themeColor="text1"/>
                <w:sz w:val="24"/>
                <w:szCs w:val="24"/>
              </w:rPr>
            </w:pPr>
          </w:p>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Requested pixel size</w:t>
            </w:r>
          </w:p>
        </w:tc>
        <w:tc>
          <w:tcPr>
            <w:tcW w:w="3117" w:type="dxa"/>
            <w:tcBorders>
              <w:top w:val="single" w:sz="4" w:space="0" w:color="auto"/>
            </w:tcBorders>
          </w:tcPr>
          <w:p w:rsidR="00A24878" w:rsidRPr="00ED7936" w:rsidRDefault="00A24878" w:rsidP="00826823">
            <w:pPr>
              <w:jc w:val="center"/>
              <w:rPr>
                <w:rFonts w:ascii="Calibri" w:eastAsia="Times New Roman" w:hAnsi="Calibri" w:cs="Calibri"/>
                <w:color w:val="000000" w:themeColor="text1"/>
                <w:sz w:val="24"/>
                <w:szCs w:val="24"/>
              </w:rPr>
            </w:pPr>
          </w:p>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0.3</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Nuclear Parameters</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 xml:space="preserve">      Background radius (µm)</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8</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 xml:space="preserve">      Sigma</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1</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 xml:space="preserve">      Area (Min, Max) (µm</w:t>
            </w:r>
            <w:r w:rsidRPr="00ED7936">
              <w:rPr>
                <w:rFonts w:ascii="Calibri" w:eastAsia="Times New Roman" w:hAnsi="Calibri" w:cs="Calibri"/>
                <w:color w:val="000000" w:themeColor="text1"/>
                <w:sz w:val="24"/>
                <w:szCs w:val="24"/>
                <w:vertAlign w:val="superscript"/>
              </w:rPr>
              <w:t>2</w:t>
            </w:r>
            <w:r w:rsidRPr="00ED7936">
              <w:rPr>
                <w:rFonts w:ascii="Calibri" w:eastAsia="Times New Roman" w:hAnsi="Calibri" w:cs="Calibri"/>
                <w:color w:val="000000" w:themeColor="text1"/>
                <w:sz w:val="24"/>
                <w:szCs w:val="24"/>
              </w:rPr>
              <w:t>)</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10, 400</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 xml:space="preserve">      Intensity threshold </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0.12</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Cell expansion (µm)</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3</w:t>
            </w:r>
          </w:p>
        </w:tc>
      </w:tr>
      <w:tr w:rsidR="00A24878" w:rsidRPr="00ED7936" w:rsidTr="00826823">
        <w:trPr>
          <w:jc w:val="center"/>
        </w:trPr>
        <w:tc>
          <w:tcPr>
            <w:tcW w:w="3116" w:type="dxa"/>
          </w:tcPr>
          <w:p w:rsidR="00A24878" w:rsidRPr="00ED7936" w:rsidRDefault="00A24878" w:rsidP="00826823">
            <w:pP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DAB intensity threshold</w:t>
            </w:r>
          </w:p>
        </w:tc>
        <w:tc>
          <w:tcPr>
            <w:tcW w:w="3117" w:type="dxa"/>
          </w:tcPr>
          <w:p w:rsidR="00A24878" w:rsidRPr="00ED7936" w:rsidRDefault="00A24878" w:rsidP="00826823">
            <w:pPr>
              <w:jc w:val="center"/>
              <w:rPr>
                <w:rFonts w:ascii="Calibri" w:eastAsia="Times New Roman" w:hAnsi="Calibri" w:cs="Calibri"/>
                <w:color w:val="000000" w:themeColor="text1"/>
                <w:sz w:val="24"/>
                <w:szCs w:val="24"/>
              </w:rPr>
            </w:pPr>
            <w:r w:rsidRPr="00ED7936">
              <w:rPr>
                <w:rFonts w:ascii="Calibri" w:eastAsia="Times New Roman" w:hAnsi="Calibri" w:cs="Calibri"/>
                <w:color w:val="000000" w:themeColor="text1"/>
                <w:sz w:val="24"/>
                <w:szCs w:val="24"/>
              </w:rPr>
              <w:t>variable</w:t>
            </w:r>
          </w:p>
        </w:tc>
      </w:tr>
    </w:tbl>
    <w:p w:rsidR="000B4997" w:rsidRDefault="000B4997">
      <w:bookmarkStart w:id="0" w:name="_GoBack"/>
      <w:bookmarkEnd w:id="0"/>
    </w:p>
    <w:sectPr w:rsidR="000B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B4997"/>
    <w:rsid w:val="0016198D"/>
    <w:rsid w:val="003E54F6"/>
    <w:rsid w:val="00A24878"/>
    <w:rsid w:val="00A7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5E39"/>
  <w15:chartTrackingRefBased/>
  <w15:docId w15:val="{D551BA42-468C-40EB-887C-3B68D09D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uong"/>
    <w:basedOn w:val="Normal"/>
    <w:next w:val="Normal"/>
    <w:uiPriority w:val="1"/>
    <w:qFormat/>
    <w:rsid w:val="000B4997"/>
    <w:pPr>
      <w:tabs>
        <w:tab w:val="left" w:pos="680"/>
      </w:tabs>
      <w:spacing w:before="120" w:after="120" w:line="400" w:lineRule="exact"/>
      <w:ind w:firstLine="567"/>
      <w:jc w:val="center"/>
    </w:pPr>
    <w:rPr>
      <w:rFonts w:ascii="Times New Roman Bold" w:eastAsia="Calibri" w:hAnsi="Times New Roman Bold" w:cs="Times New Roman"/>
      <w:b/>
      <w:caps/>
      <w:sz w:val="24"/>
    </w:rPr>
  </w:style>
  <w:style w:type="table" w:styleId="TableGrid">
    <w:name w:val="Table Grid"/>
    <w:basedOn w:val="TableNormal"/>
    <w:uiPriority w:val="39"/>
    <w:rsid w:val="00A2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Betale</dc:creator>
  <cp:keywords/>
  <dc:description/>
  <cp:lastModifiedBy>Amol Betale</cp:lastModifiedBy>
  <cp:revision>1</cp:revision>
  <dcterms:created xsi:type="dcterms:W3CDTF">2021-11-01T09:33:00Z</dcterms:created>
  <dcterms:modified xsi:type="dcterms:W3CDTF">2021-11-01T11:22:00Z</dcterms:modified>
</cp:coreProperties>
</file>