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EE" w:rsidRPr="000E671D" w:rsidRDefault="00E06DEE" w:rsidP="00DE7A5A">
      <w:pPr>
        <w:jc w:val="center"/>
        <w:rPr>
          <w:rFonts w:asciiTheme="majorBidi" w:hAnsiTheme="majorBidi" w:cstheme="majorBidi"/>
          <w:b/>
          <w:bCs/>
          <w:sz w:val="28"/>
          <w:szCs w:val="24"/>
        </w:rPr>
      </w:pPr>
      <w:bookmarkStart w:id="0" w:name="_GoBack"/>
      <w:r w:rsidRPr="000E671D">
        <w:rPr>
          <w:rFonts w:asciiTheme="majorBidi" w:hAnsiTheme="majorBidi" w:cstheme="majorBidi"/>
          <w:b/>
          <w:bCs/>
          <w:sz w:val="28"/>
          <w:szCs w:val="24"/>
        </w:rPr>
        <w:t xml:space="preserve">Additional file. </w:t>
      </w:r>
      <w:r w:rsidR="00DE7A5A" w:rsidRPr="000E671D">
        <w:rPr>
          <w:rFonts w:asciiTheme="majorBidi" w:hAnsiTheme="majorBidi" w:cstheme="majorBidi"/>
          <w:b/>
          <w:bCs/>
          <w:sz w:val="28"/>
          <w:szCs w:val="24"/>
        </w:rPr>
        <w:t>2</w:t>
      </w:r>
    </w:p>
    <w:bookmarkEnd w:id="0"/>
    <w:p w:rsidR="000E671D" w:rsidRPr="00A95CF5" w:rsidRDefault="000E671D" w:rsidP="00DE7A5A">
      <w:pPr>
        <w:jc w:val="center"/>
        <w:rPr>
          <w:rFonts w:asciiTheme="majorBidi" w:hAnsiTheme="majorBidi" w:cstheme="majorBidi"/>
          <w:b/>
          <w:bCs/>
          <w:sz w:val="24"/>
          <w:szCs w:val="24"/>
        </w:rPr>
      </w:pPr>
    </w:p>
    <w:p w:rsidR="00E06DEE" w:rsidRPr="00B83975" w:rsidRDefault="00E06DEE" w:rsidP="00B83975">
      <w:pPr>
        <w:pStyle w:val="Lgende"/>
        <w:keepNext/>
        <w:rPr>
          <w:rFonts w:asciiTheme="majorBidi" w:hAnsiTheme="majorBidi" w:cstheme="majorBidi"/>
          <w:b/>
          <w:bCs/>
          <w:i w:val="0"/>
          <w:iCs w:val="0"/>
          <w:color w:val="auto"/>
          <w:sz w:val="24"/>
          <w:szCs w:val="24"/>
          <w:lang w:val="en-GB"/>
        </w:rPr>
      </w:pPr>
      <w:r w:rsidRPr="00B83975">
        <w:rPr>
          <w:rFonts w:asciiTheme="majorBidi" w:hAnsiTheme="majorBidi" w:cstheme="majorBidi"/>
          <w:b/>
          <w:bCs/>
          <w:i w:val="0"/>
          <w:iCs w:val="0"/>
          <w:color w:val="auto"/>
          <w:sz w:val="24"/>
          <w:szCs w:val="24"/>
          <w:lang w:val="en-GB"/>
        </w:rPr>
        <w:t xml:space="preserve">Table </w:t>
      </w:r>
      <w:r w:rsidR="00B83975" w:rsidRPr="00B83975">
        <w:rPr>
          <w:rFonts w:asciiTheme="majorBidi" w:hAnsiTheme="majorBidi" w:cstheme="majorBidi"/>
          <w:b/>
          <w:bCs/>
          <w:i w:val="0"/>
          <w:iCs w:val="0"/>
          <w:color w:val="auto"/>
          <w:sz w:val="24"/>
          <w:szCs w:val="24"/>
          <w:lang w:val="en-GB"/>
        </w:rPr>
        <w:t>2</w:t>
      </w:r>
      <w:r w:rsidRPr="00B83975">
        <w:rPr>
          <w:rFonts w:asciiTheme="majorBidi" w:hAnsiTheme="majorBidi" w:cstheme="majorBidi"/>
          <w:b/>
          <w:bCs/>
          <w:i w:val="0"/>
          <w:iCs w:val="0"/>
          <w:color w:val="auto"/>
          <w:sz w:val="24"/>
          <w:szCs w:val="24"/>
          <w:lang w:val="en-GB"/>
        </w:rPr>
        <w:t xml:space="preserve">: </w:t>
      </w:r>
      <w:r w:rsidR="00B83975">
        <w:rPr>
          <w:rFonts w:asciiTheme="majorBidi" w:hAnsiTheme="majorBidi" w:cstheme="majorBidi"/>
          <w:b/>
          <w:bCs/>
          <w:i w:val="0"/>
          <w:iCs w:val="0"/>
          <w:color w:val="auto"/>
          <w:sz w:val="24"/>
          <w:szCs w:val="24"/>
          <w:lang w:val="en-GB"/>
        </w:rPr>
        <w:t>R</w:t>
      </w:r>
      <w:r w:rsidRPr="00B83975">
        <w:rPr>
          <w:rFonts w:asciiTheme="majorBidi" w:hAnsiTheme="majorBidi" w:cstheme="majorBidi"/>
          <w:b/>
          <w:bCs/>
          <w:i w:val="0"/>
          <w:iCs w:val="0"/>
          <w:color w:val="auto"/>
          <w:sz w:val="24"/>
          <w:szCs w:val="24"/>
          <w:lang w:val="en-GB"/>
        </w:rPr>
        <w:t>esults</w:t>
      </w:r>
      <w:r w:rsidR="00B83975">
        <w:rPr>
          <w:rFonts w:asciiTheme="majorBidi" w:hAnsiTheme="majorBidi" w:cstheme="majorBidi"/>
          <w:b/>
          <w:bCs/>
          <w:i w:val="0"/>
          <w:iCs w:val="0"/>
          <w:color w:val="auto"/>
          <w:sz w:val="24"/>
          <w:szCs w:val="24"/>
          <w:lang w:val="en-GB"/>
        </w:rPr>
        <w:t xml:space="preserve"> of analysis for certification implementation using TMT (1)</w:t>
      </w:r>
    </w:p>
    <w:tbl>
      <w:tblPr>
        <w:tblStyle w:val="PlainTable51"/>
        <w:tblW w:w="12676" w:type="dxa"/>
        <w:tblLayout w:type="fixed"/>
        <w:tblLook w:val="04A0" w:firstRow="1" w:lastRow="0" w:firstColumn="1" w:lastColumn="0" w:noHBand="0" w:noVBand="1"/>
      </w:tblPr>
      <w:tblGrid>
        <w:gridCol w:w="1980"/>
        <w:gridCol w:w="2476"/>
        <w:gridCol w:w="8220"/>
      </w:tblGrid>
      <w:tr w:rsidR="00E06DEE" w:rsidRPr="00B83975" w:rsidTr="0016361C">
        <w:trPr>
          <w:cnfStyle w:val="100000000000" w:firstRow="1" w:lastRow="0" w:firstColumn="0" w:lastColumn="0" w:oddVBand="0" w:evenVBand="0" w:oddHBand="0" w:evenHBand="0" w:firstRowFirstColumn="0" w:firstRowLastColumn="0" w:lastRowFirstColumn="0" w:lastRowLastColumn="0"/>
          <w:trHeight w:val="654"/>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auto"/>
            </w:tcBorders>
            <w:vAlign w:val="center"/>
          </w:tcPr>
          <w:p w:rsidR="00E06DEE" w:rsidRPr="00B83975" w:rsidRDefault="00E06DEE" w:rsidP="00482756">
            <w:pPr>
              <w:spacing w:line="360" w:lineRule="auto"/>
              <w:jc w:val="left"/>
              <w:rPr>
                <w:rFonts w:asciiTheme="majorBidi" w:hAnsiTheme="majorBidi"/>
                <w:b/>
                <w:bCs/>
                <w:i w:val="0"/>
                <w:iCs w:val="0"/>
                <w:sz w:val="22"/>
                <w:lang w:val="en-GB"/>
              </w:rPr>
            </w:pPr>
            <w:r w:rsidRPr="00B83975">
              <w:rPr>
                <w:rFonts w:asciiTheme="majorBidi" w:hAnsiTheme="majorBidi"/>
                <w:b/>
                <w:bCs/>
                <w:i w:val="0"/>
                <w:iCs w:val="0"/>
                <w:sz w:val="22"/>
                <w:lang w:val="en-GB"/>
              </w:rPr>
              <w:t>Components</w:t>
            </w:r>
          </w:p>
        </w:tc>
        <w:tc>
          <w:tcPr>
            <w:tcW w:w="2476" w:type="dxa"/>
            <w:tcBorders>
              <w:bottom w:val="single" w:sz="4" w:space="0" w:color="auto"/>
            </w:tcBorders>
            <w:vAlign w:val="center"/>
          </w:tcPr>
          <w:p w:rsidR="00E06DEE" w:rsidRPr="00B83975" w:rsidRDefault="00E06DEE" w:rsidP="00482756">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sz w:val="22"/>
                <w:lang w:val="en-GB"/>
              </w:rPr>
            </w:pPr>
            <w:r w:rsidRPr="00B83975">
              <w:rPr>
                <w:rFonts w:asciiTheme="majorBidi" w:hAnsiTheme="majorBidi"/>
                <w:b/>
                <w:bCs/>
                <w:i w:val="0"/>
                <w:iCs w:val="0"/>
                <w:sz w:val="22"/>
                <w:lang w:val="en-GB"/>
              </w:rPr>
              <w:t>Elements</w:t>
            </w:r>
          </w:p>
        </w:tc>
        <w:tc>
          <w:tcPr>
            <w:tcW w:w="8220" w:type="dxa"/>
            <w:tcBorders>
              <w:bottom w:val="single" w:sz="4" w:space="0" w:color="auto"/>
            </w:tcBorders>
            <w:vAlign w:val="center"/>
          </w:tcPr>
          <w:p w:rsidR="00E06DEE" w:rsidRPr="00B83975" w:rsidRDefault="00E06DEE" w:rsidP="00482756">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sz w:val="22"/>
                <w:lang w:val="en-GB"/>
              </w:rPr>
            </w:pPr>
            <w:r w:rsidRPr="00B83975">
              <w:rPr>
                <w:rFonts w:asciiTheme="majorBidi" w:hAnsiTheme="majorBidi"/>
                <w:b/>
                <w:bCs/>
                <w:i w:val="0"/>
                <w:iCs w:val="0"/>
                <w:sz w:val="22"/>
                <w:lang w:val="en-GB"/>
              </w:rPr>
              <w:t>“how of”  within the studied hospital field</w:t>
            </w:r>
          </w:p>
        </w:tc>
      </w:tr>
      <w:tr w:rsidR="00E06DEE" w:rsidRPr="00B83975" w:rsidTr="0016361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tcBorders>
            <w:vAlign w:val="center"/>
          </w:tcPr>
          <w:p w:rsidR="00E06DEE" w:rsidRPr="00B83975" w:rsidRDefault="00E06DEE" w:rsidP="00FB5024">
            <w:pPr>
              <w:spacing w:before="240" w:line="360" w:lineRule="auto"/>
              <w:jc w:val="left"/>
              <w:rPr>
                <w:rFonts w:asciiTheme="majorBidi" w:hAnsiTheme="majorBidi"/>
                <w:b/>
                <w:bCs/>
                <w:i w:val="0"/>
                <w:iCs w:val="0"/>
                <w:sz w:val="22"/>
                <w:lang w:val="en-GB"/>
              </w:rPr>
            </w:pPr>
            <w:r w:rsidRPr="00B83975">
              <w:rPr>
                <w:rFonts w:asciiTheme="majorBidi" w:hAnsiTheme="majorBidi"/>
                <w:b/>
                <w:bCs/>
                <w:i w:val="0"/>
                <w:iCs w:val="0"/>
                <w:sz w:val="22"/>
                <w:lang w:val="en-GB"/>
              </w:rPr>
              <w:t xml:space="preserve">Projects </w:t>
            </w:r>
          </w:p>
          <w:p w:rsidR="00E06DEE" w:rsidRPr="00B83975" w:rsidRDefault="00E06DEE" w:rsidP="00FB5024">
            <w:pPr>
              <w:spacing w:before="240" w:line="360" w:lineRule="auto"/>
              <w:jc w:val="left"/>
              <w:rPr>
                <w:rFonts w:asciiTheme="majorBidi" w:hAnsiTheme="majorBidi"/>
                <w:b/>
                <w:bCs/>
                <w:i w:val="0"/>
                <w:iCs w:val="0"/>
                <w:sz w:val="22"/>
                <w:lang w:val="en-GB"/>
              </w:rPr>
            </w:pPr>
            <w:r w:rsidRPr="00B83975">
              <w:rPr>
                <w:rFonts w:asciiTheme="majorBidi" w:hAnsiTheme="majorBidi"/>
                <w:b/>
                <w:i w:val="0"/>
                <w:iCs w:val="0"/>
                <w:sz w:val="22"/>
                <w:lang w:val="en-GB"/>
              </w:rPr>
              <w:t>Institutionally sanctioned strategic activity</w:t>
            </w:r>
          </w:p>
        </w:tc>
        <w:tc>
          <w:tcPr>
            <w:tcW w:w="2476" w:type="dxa"/>
            <w:tcBorders>
              <w:top w:val="single" w:sz="4" w:space="0" w:color="auto"/>
            </w:tcBorders>
            <w:vAlign w:val="center"/>
          </w:tcPr>
          <w:p w:rsidR="00E06DEE" w:rsidRPr="00B83975" w:rsidRDefault="00E06DEE" w:rsidP="00FB5024">
            <w:pPr>
              <w:spacing w:before="24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val="en-GB"/>
              </w:rPr>
            </w:pPr>
            <w:r w:rsidRPr="00B83975">
              <w:rPr>
                <w:rFonts w:asciiTheme="majorBidi" w:hAnsiTheme="majorBidi" w:cstheme="majorBidi"/>
                <w:b/>
                <w:lang w:val="en-GB"/>
              </w:rPr>
              <w:t xml:space="preserve">Project </w:t>
            </w:r>
          </w:p>
        </w:tc>
        <w:tc>
          <w:tcPr>
            <w:tcW w:w="8220" w:type="dxa"/>
            <w:tcBorders>
              <w:top w:val="single" w:sz="4" w:space="0" w:color="auto"/>
            </w:tcBorders>
            <w:vAlign w:val="center"/>
          </w:tcPr>
          <w:p w:rsidR="00E06DEE" w:rsidRPr="00B83975" w:rsidRDefault="00382B9A" w:rsidP="0016361C">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C</w:t>
            </w:r>
            <w:r w:rsidR="00E06DEE" w:rsidRPr="00B83975">
              <w:rPr>
                <w:rFonts w:asciiTheme="majorBidi" w:hAnsiTheme="majorBidi" w:cstheme="majorBidi"/>
                <w:lang w:val="en-GB"/>
              </w:rPr>
              <w:t>ertification</w:t>
            </w:r>
            <w:r w:rsidRPr="00B83975">
              <w:rPr>
                <w:rFonts w:asciiTheme="majorBidi" w:hAnsiTheme="majorBidi" w:cstheme="majorBidi"/>
                <w:lang w:val="en-GB"/>
              </w:rPr>
              <w:t xml:space="preserve"> procedure</w:t>
            </w:r>
          </w:p>
        </w:tc>
      </w:tr>
      <w:tr w:rsidR="00E06DEE" w:rsidRPr="00B83975" w:rsidTr="0016361C">
        <w:trPr>
          <w:trHeight w:val="404"/>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b/>
                <w:bCs/>
                <w:i w:val="0"/>
                <w:iCs w:val="0"/>
                <w:sz w:val="22"/>
                <w:lang w:val="en-GB"/>
              </w:rPr>
            </w:pPr>
          </w:p>
        </w:tc>
        <w:tc>
          <w:tcPr>
            <w:tcW w:w="2476" w:type="dxa"/>
            <w:vAlign w:val="center"/>
          </w:tcPr>
          <w:p w:rsidR="00E06DEE" w:rsidRPr="00B83975" w:rsidRDefault="00E06DEE" w:rsidP="00FB5024">
            <w:pPr>
              <w:spacing w:before="24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lang w:val="en-GB"/>
              </w:rPr>
            </w:pPr>
            <w:r w:rsidRPr="00B83975">
              <w:rPr>
                <w:rFonts w:asciiTheme="majorBidi" w:hAnsiTheme="majorBidi" w:cstheme="majorBidi"/>
                <w:b/>
                <w:lang w:val="en-GB"/>
              </w:rPr>
              <w:t xml:space="preserve">Sub project </w:t>
            </w:r>
          </w:p>
        </w:tc>
        <w:tc>
          <w:tcPr>
            <w:tcW w:w="8220" w:type="dxa"/>
            <w:vAlign w:val="center"/>
          </w:tcPr>
          <w:p w:rsidR="00E06DEE" w:rsidRPr="00B83975" w:rsidRDefault="00E06DEE" w:rsidP="0016361C">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 xml:space="preserve">Example: </w:t>
            </w:r>
            <w:r w:rsidR="00382B9A" w:rsidRPr="00B83975">
              <w:rPr>
                <w:rFonts w:asciiTheme="majorBidi" w:hAnsiTheme="majorBidi" w:cstheme="majorBidi"/>
                <w:lang w:val="en-GB"/>
              </w:rPr>
              <w:t xml:space="preserve">certification </w:t>
            </w:r>
            <w:r w:rsidRPr="00B83975">
              <w:rPr>
                <w:rFonts w:asciiTheme="majorBidi" w:hAnsiTheme="majorBidi" w:cstheme="majorBidi"/>
                <w:lang w:val="en-GB"/>
              </w:rPr>
              <w:t>within digestive endoscopy  sector</w:t>
            </w:r>
          </w:p>
        </w:tc>
      </w:tr>
      <w:tr w:rsidR="00E06DEE" w:rsidRPr="00B83975" w:rsidTr="0016361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b/>
                <w:bCs/>
                <w:i w:val="0"/>
                <w:iCs w:val="0"/>
                <w:sz w:val="22"/>
                <w:lang w:val="en-GB"/>
              </w:rPr>
            </w:pPr>
          </w:p>
        </w:tc>
        <w:tc>
          <w:tcPr>
            <w:tcW w:w="2476" w:type="dxa"/>
            <w:vAlign w:val="center"/>
          </w:tcPr>
          <w:p w:rsidR="00E06DEE" w:rsidRPr="00B83975" w:rsidRDefault="00E06DEE" w:rsidP="00FB5024">
            <w:pPr>
              <w:spacing w:before="24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val="en-GB"/>
              </w:rPr>
            </w:pPr>
            <w:r w:rsidRPr="00B83975">
              <w:rPr>
                <w:rFonts w:asciiTheme="majorBidi" w:hAnsiTheme="majorBidi" w:cstheme="majorBidi"/>
                <w:b/>
                <w:lang w:val="en-GB"/>
              </w:rPr>
              <w:t xml:space="preserve">Project actor </w:t>
            </w:r>
          </w:p>
        </w:tc>
        <w:tc>
          <w:tcPr>
            <w:tcW w:w="8220" w:type="dxa"/>
            <w:vAlign w:val="center"/>
          </w:tcPr>
          <w:p w:rsidR="00E06DEE" w:rsidRPr="00B83975" w:rsidRDefault="00E06DEE" w:rsidP="0016361C">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 xml:space="preserve">Quality management system </w:t>
            </w:r>
            <w:r w:rsidR="00382B9A" w:rsidRPr="00B83975">
              <w:rPr>
                <w:rFonts w:asciiTheme="majorBidi" w:hAnsiTheme="majorBidi" w:cstheme="majorBidi"/>
                <w:lang w:val="en-GB"/>
              </w:rPr>
              <w:t xml:space="preserve">/ quality </w:t>
            </w:r>
            <w:r w:rsidR="002A1FC6">
              <w:rPr>
                <w:rFonts w:asciiTheme="majorBidi" w:hAnsiTheme="majorBidi" w:cstheme="majorBidi"/>
                <w:lang w:val="en-GB"/>
              </w:rPr>
              <w:t xml:space="preserve">programme </w:t>
            </w:r>
          </w:p>
        </w:tc>
      </w:tr>
      <w:tr w:rsidR="00E06DEE" w:rsidRPr="00B83975" w:rsidTr="0016361C">
        <w:trPr>
          <w:trHeight w:val="402"/>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auto"/>
            </w:tcBorders>
            <w:vAlign w:val="center"/>
          </w:tcPr>
          <w:p w:rsidR="00E06DEE" w:rsidRPr="00B83975" w:rsidRDefault="00E06DEE" w:rsidP="00FB5024">
            <w:pPr>
              <w:spacing w:before="240" w:line="360" w:lineRule="auto"/>
              <w:jc w:val="left"/>
              <w:rPr>
                <w:rFonts w:asciiTheme="majorBidi" w:hAnsiTheme="majorBidi"/>
                <w:b/>
                <w:bCs/>
                <w:i w:val="0"/>
                <w:iCs w:val="0"/>
                <w:sz w:val="22"/>
                <w:lang w:val="en-GB"/>
              </w:rPr>
            </w:pPr>
          </w:p>
        </w:tc>
        <w:tc>
          <w:tcPr>
            <w:tcW w:w="2476" w:type="dxa"/>
            <w:tcBorders>
              <w:bottom w:val="single" w:sz="4" w:space="0" w:color="auto"/>
            </w:tcBorders>
            <w:vAlign w:val="center"/>
          </w:tcPr>
          <w:p w:rsidR="00E06DEE" w:rsidRPr="00B83975" w:rsidRDefault="00E06DEE" w:rsidP="00FB5024">
            <w:pPr>
              <w:spacing w:before="24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lang w:val="en-GB"/>
              </w:rPr>
            </w:pPr>
            <w:r w:rsidRPr="00B83975">
              <w:rPr>
                <w:rFonts w:asciiTheme="majorBidi" w:hAnsiTheme="majorBidi" w:cstheme="majorBidi"/>
                <w:b/>
                <w:lang w:val="en-GB"/>
              </w:rPr>
              <w:t xml:space="preserve">Intersecting project </w:t>
            </w:r>
          </w:p>
        </w:tc>
        <w:tc>
          <w:tcPr>
            <w:tcW w:w="8220" w:type="dxa"/>
            <w:tcBorders>
              <w:bottom w:val="single" w:sz="4" w:space="0" w:color="auto"/>
            </w:tcBorders>
            <w:vAlign w:val="center"/>
          </w:tcPr>
          <w:p w:rsidR="00E06DEE" w:rsidRPr="00B83975" w:rsidRDefault="00E06DEE" w:rsidP="0016361C">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 xml:space="preserve">Direct patient care, organisational work </w:t>
            </w:r>
          </w:p>
        </w:tc>
      </w:tr>
      <w:tr w:rsidR="00E06DEE" w:rsidRPr="00B83975" w:rsidTr="0016361C">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tcBorders>
            <w:vAlign w:val="center"/>
          </w:tcPr>
          <w:p w:rsidR="00E06DEE" w:rsidRPr="00B83975" w:rsidRDefault="00E06DEE" w:rsidP="00FB5024">
            <w:pPr>
              <w:spacing w:before="240" w:line="360" w:lineRule="auto"/>
              <w:jc w:val="left"/>
              <w:rPr>
                <w:rFonts w:asciiTheme="majorBidi" w:hAnsiTheme="majorBidi"/>
                <w:b/>
                <w:bCs/>
                <w:i w:val="0"/>
                <w:iCs w:val="0"/>
                <w:sz w:val="22"/>
                <w:lang w:val="en-GB"/>
              </w:rPr>
            </w:pPr>
            <w:r w:rsidRPr="00B83975">
              <w:rPr>
                <w:rFonts w:asciiTheme="majorBidi" w:hAnsiTheme="majorBidi"/>
                <w:b/>
                <w:bCs/>
                <w:i w:val="0"/>
                <w:iCs w:val="0"/>
                <w:sz w:val="22"/>
                <w:lang w:val="en-GB"/>
              </w:rPr>
              <w:t xml:space="preserve">Strategic action field </w:t>
            </w:r>
          </w:p>
          <w:p w:rsidR="00E06DEE" w:rsidRPr="00B83975" w:rsidRDefault="00E06DEE" w:rsidP="00FB5024">
            <w:pPr>
              <w:spacing w:before="240" w:line="360" w:lineRule="auto"/>
              <w:jc w:val="left"/>
              <w:rPr>
                <w:rFonts w:asciiTheme="majorBidi" w:hAnsiTheme="majorBidi"/>
                <w:b/>
                <w:bCs/>
                <w:i w:val="0"/>
                <w:iCs w:val="0"/>
                <w:sz w:val="22"/>
                <w:lang w:val="en-GB"/>
              </w:rPr>
            </w:pPr>
            <w:r w:rsidRPr="00B83975">
              <w:rPr>
                <w:rFonts w:asciiTheme="majorBidi" w:hAnsiTheme="majorBidi"/>
                <w:b/>
                <w:bCs/>
                <w:i w:val="0"/>
                <w:iCs w:val="0"/>
                <w:sz w:val="22"/>
                <w:lang w:val="en-GB"/>
              </w:rPr>
              <w:t>(teaching hospital centre)</w:t>
            </w:r>
          </w:p>
        </w:tc>
        <w:tc>
          <w:tcPr>
            <w:tcW w:w="2476" w:type="dxa"/>
            <w:tcBorders>
              <w:top w:val="single" w:sz="4" w:space="0" w:color="auto"/>
            </w:tcBorders>
            <w:vAlign w:val="center"/>
          </w:tcPr>
          <w:p w:rsidR="00E06DEE" w:rsidRPr="00B83975" w:rsidRDefault="00E06DEE" w:rsidP="00FB5024">
            <w:pPr>
              <w:spacing w:before="24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Organizing logics </w:t>
            </w:r>
          </w:p>
        </w:tc>
        <w:tc>
          <w:tcPr>
            <w:tcW w:w="8220" w:type="dxa"/>
            <w:tcBorders>
              <w:top w:val="single" w:sz="4" w:space="0" w:color="auto"/>
            </w:tcBorders>
            <w:vAlign w:val="center"/>
          </w:tcPr>
          <w:p w:rsidR="00E06DEE" w:rsidRPr="00B83975" w:rsidRDefault="00462688" w:rsidP="0016361C">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Pr>
                <w:rFonts w:asciiTheme="majorBidi" w:hAnsiTheme="majorBidi" w:cstheme="majorBidi"/>
                <w:lang w:val="en-GB"/>
              </w:rPr>
              <w:t>The care q</w:t>
            </w:r>
            <w:r w:rsidR="00E06DEE" w:rsidRPr="00B83975">
              <w:rPr>
                <w:rFonts w:asciiTheme="majorBidi" w:hAnsiTheme="majorBidi" w:cstheme="majorBidi"/>
                <w:lang w:val="en-GB"/>
              </w:rPr>
              <w:t>uality and patient safety</w:t>
            </w:r>
          </w:p>
        </w:tc>
      </w:tr>
      <w:tr w:rsidR="00E06DEE" w:rsidRPr="00B83975" w:rsidTr="0016361C">
        <w:trPr>
          <w:trHeight w:val="1512"/>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b/>
                <w:bCs/>
                <w:i w:val="0"/>
                <w:iCs w:val="0"/>
                <w:sz w:val="22"/>
                <w:lang w:val="en-GB"/>
              </w:rPr>
            </w:pPr>
          </w:p>
        </w:tc>
        <w:tc>
          <w:tcPr>
            <w:tcW w:w="2476" w:type="dxa"/>
            <w:vAlign w:val="center"/>
          </w:tcPr>
          <w:p w:rsidR="00E06DEE" w:rsidRPr="00B83975" w:rsidRDefault="00E06DEE" w:rsidP="00FB5024">
            <w:pPr>
              <w:spacing w:before="24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Structures </w:t>
            </w:r>
          </w:p>
        </w:tc>
        <w:tc>
          <w:tcPr>
            <w:tcW w:w="8220" w:type="dxa"/>
            <w:vAlign w:val="center"/>
          </w:tcPr>
          <w:p w:rsidR="00E06DEE" w:rsidRPr="00B83975" w:rsidRDefault="00E06DEE" w:rsidP="0016361C">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 xml:space="preserve">Different hospital </w:t>
            </w:r>
            <w:r w:rsidR="00D86C8F">
              <w:rPr>
                <w:rFonts w:asciiTheme="majorBidi" w:hAnsiTheme="majorBidi" w:cstheme="majorBidi"/>
                <w:lang w:val="en-GB"/>
              </w:rPr>
              <w:t>departments</w:t>
            </w:r>
            <w:r w:rsidRPr="00B83975">
              <w:rPr>
                <w:rFonts w:asciiTheme="majorBidi" w:hAnsiTheme="majorBidi" w:cstheme="majorBidi"/>
                <w:lang w:val="en-GB"/>
              </w:rPr>
              <w:t>,</w:t>
            </w:r>
            <w:r w:rsidR="00D86C8F">
              <w:rPr>
                <w:rFonts w:asciiTheme="majorBidi" w:hAnsiTheme="majorBidi" w:cstheme="majorBidi"/>
                <w:lang w:val="en-GB"/>
              </w:rPr>
              <w:t xml:space="preserve"> example </w:t>
            </w:r>
            <w:r w:rsidRPr="00B83975">
              <w:rPr>
                <w:rFonts w:asciiTheme="majorBidi" w:hAnsiTheme="majorBidi" w:cstheme="majorBidi"/>
                <w:lang w:val="en-GB"/>
              </w:rPr>
              <w:t xml:space="preserve"> </w:t>
            </w:r>
            <w:r w:rsidR="00D86C8F">
              <w:rPr>
                <w:rFonts w:asciiTheme="majorBidi" w:hAnsiTheme="majorBidi" w:cstheme="majorBidi"/>
                <w:lang w:val="en-GB"/>
              </w:rPr>
              <w:t xml:space="preserve">digestive </w:t>
            </w:r>
            <w:r w:rsidRPr="00B83975">
              <w:rPr>
                <w:rFonts w:asciiTheme="majorBidi" w:hAnsiTheme="majorBidi" w:cstheme="majorBidi"/>
                <w:lang w:val="en-GB"/>
              </w:rPr>
              <w:t>endoscopy sectors</w:t>
            </w:r>
            <w:r w:rsidR="00D86C8F">
              <w:rPr>
                <w:rFonts w:asciiTheme="majorBidi" w:hAnsiTheme="majorBidi" w:cstheme="majorBidi"/>
                <w:lang w:val="en-GB"/>
              </w:rPr>
              <w:t>,  care quality direction</w:t>
            </w:r>
            <w:r w:rsidRPr="00B83975">
              <w:rPr>
                <w:rFonts w:asciiTheme="majorBidi" w:hAnsiTheme="majorBidi" w:cstheme="majorBidi"/>
                <w:lang w:val="en-GB"/>
              </w:rPr>
              <w:t xml:space="preserve"> and </w:t>
            </w:r>
            <w:r w:rsidR="00D86C8F">
              <w:rPr>
                <w:rFonts w:asciiTheme="majorBidi" w:hAnsiTheme="majorBidi" w:cstheme="majorBidi"/>
                <w:lang w:val="en-GB"/>
              </w:rPr>
              <w:t>health manager, executive manager</w:t>
            </w:r>
            <w:r w:rsidRPr="00B83975">
              <w:rPr>
                <w:rFonts w:asciiTheme="majorBidi" w:hAnsiTheme="majorBidi" w:cstheme="majorBidi"/>
                <w:lang w:val="en-GB"/>
              </w:rPr>
              <w:t>, quality engineers, endoscopy steering commission, local managers, processes pilots, multidisciplinary professionals (doctors , nurses, care providers.. ), technicians</w:t>
            </w:r>
          </w:p>
        </w:tc>
      </w:tr>
      <w:tr w:rsidR="00E06DEE" w:rsidRPr="00B83975" w:rsidTr="0016361C">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b/>
                <w:bCs/>
                <w:i w:val="0"/>
                <w:iCs w:val="0"/>
                <w:sz w:val="22"/>
                <w:lang w:val="en-GB"/>
              </w:rPr>
            </w:pPr>
          </w:p>
        </w:tc>
        <w:tc>
          <w:tcPr>
            <w:tcW w:w="2476" w:type="dxa"/>
            <w:vAlign w:val="center"/>
          </w:tcPr>
          <w:p w:rsidR="00E06DEE" w:rsidRPr="00B83975" w:rsidRDefault="00E06DEE" w:rsidP="00FB5024">
            <w:pPr>
              <w:spacing w:before="24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Materials/technologies </w:t>
            </w:r>
          </w:p>
        </w:tc>
        <w:tc>
          <w:tcPr>
            <w:tcW w:w="8220" w:type="dxa"/>
            <w:vAlign w:val="center"/>
          </w:tcPr>
          <w:p w:rsidR="00E06DEE" w:rsidRPr="00B83975" w:rsidRDefault="00E06DEE" w:rsidP="0016361C">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 xml:space="preserve">Infrastructure of digestive endoscopy (with and without general anaesthesia, emergency), different machineries and caregivers’ tools of patient care (new endoscope…). Patient electronic health records, informatics system  </w:t>
            </w:r>
          </w:p>
        </w:tc>
      </w:tr>
      <w:tr w:rsidR="00E06DEE" w:rsidRPr="00B83975" w:rsidTr="0016361C">
        <w:trPr>
          <w:trHeight w:val="1343"/>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auto"/>
            </w:tcBorders>
            <w:vAlign w:val="center"/>
          </w:tcPr>
          <w:p w:rsidR="00E06DEE" w:rsidRPr="00B83975" w:rsidRDefault="00E06DEE" w:rsidP="00FB5024">
            <w:pPr>
              <w:spacing w:before="240" w:line="360" w:lineRule="auto"/>
              <w:jc w:val="left"/>
              <w:rPr>
                <w:rFonts w:asciiTheme="majorBidi" w:hAnsiTheme="majorBidi"/>
                <w:b/>
                <w:bCs/>
                <w:i w:val="0"/>
                <w:iCs w:val="0"/>
                <w:sz w:val="22"/>
                <w:lang w:val="en-GB"/>
              </w:rPr>
            </w:pPr>
          </w:p>
        </w:tc>
        <w:tc>
          <w:tcPr>
            <w:tcW w:w="2476" w:type="dxa"/>
            <w:tcBorders>
              <w:bottom w:val="single" w:sz="4" w:space="0" w:color="auto"/>
            </w:tcBorders>
            <w:vAlign w:val="center"/>
          </w:tcPr>
          <w:p w:rsidR="00E06DEE" w:rsidRPr="00B83975" w:rsidRDefault="00E06DEE" w:rsidP="00FB5024">
            <w:pPr>
              <w:spacing w:before="24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Interpretative repertoires </w:t>
            </w:r>
          </w:p>
        </w:tc>
        <w:tc>
          <w:tcPr>
            <w:tcW w:w="8220" w:type="dxa"/>
            <w:tcBorders>
              <w:bottom w:val="single" w:sz="4" w:space="0" w:color="auto"/>
            </w:tcBorders>
            <w:vAlign w:val="center"/>
          </w:tcPr>
          <w:p w:rsidR="00E06DEE" w:rsidRPr="00B83975" w:rsidRDefault="00E06DEE" w:rsidP="0016361C">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Protocols and policies,  procedures, meeting reports,  action plan; documentation system: checklist HAS endoscopy; ecology paper, patient file; traceability endoscopy (paper and electronic format)</w:t>
            </w:r>
          </w:p>
        </w:tc>
      </w:tr>
      <w:tr w:rsidR="00E06DEE" w:rsidRPr="00B83975" w:rsidTr="0016361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tcBorders>
            <w:vAlign w:val="center"/>
          </w:tcPr>
          <w:p w:rsidR="00E06DEE" w:rsidRPr="00B83975" w:rsidRDefault="00E06DEE" w:rsidP="00FB5024">
            <w:pPr>
              <w:spacing w:before="240" w:line="360" w:lineRule="auto"/>
              <w:jc w:val="left"/>
              <w:rPr>
                <w:rFonts w:asciiTheme="majorBidi" w:hAnsiTheme="majorBidi"/>
                <w:b/>
                <w:bCs/>
                <w:i w:val="0"/>
                <w:iCs w:val="0"/>
                <w:sz w:val="22"/>
                <w:lang w:val="en-GB"/>
              </w:rPr>
            </w:pPr>
            <w:r w:rsidRPr="00B83975">
              <w:rPr>
                <w:rFonts w:asciiTheme="majorBidi" w:hAnsiTheme="majorBidi"/>
                <w:b/>
                <w:bCs/>
                <w:i w:val="0"/>
                <w:iCs w:val="0"/>
                <w:sz w:val="22"/>
                <w:lang w:val="en-GB"/>
              </w:rPr>
              <w:lastRenderedPageBreak/>
              <w:t xml:space="preserve">Mechanisms of mobilization </w:t>
            </w:r>
          </w:p>
        </w:tc>
        <w:tc>
          <w:tcPr>
            <w:tcW w:w="2476" w:type="dxa"/>
            <w:tcBorders>
              <w:top w:val="single" w:sz="4" w:space="0" w:color="auto"/>
            </w:tcBorders>
            <w:vAlign w:val="center"/>
          </w:tcPr>
          <w:p w:rsidR="00E06DEE" w:rsidRPr="00B83975" w:rsidRDefault="00E06DEE" w:rsidP="00FB5024">
            <w:pPr>
              <w:spacing w:before="24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Object formation </w:t>
            </w:r>
          </w:p>
        </w:tc>
        <w:tc>
          <w:tcPr>
            <w:tcW w:w="8220" w:type="dxa"/>
            <w:tcBorders>
              <w:top w:val="single" w:sz="4" w:space="0" w:color="auto"/>
            </w:tcBorders>
            <w:vAlign w:val="center"/>
          </w:tcPr>
          <w:p w:rsidR="00E06DEE" w:rsidRPr="00B83975" w:rsidRDefault="00E06DEE" w:rsidP="00141103">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sidRPr="00B83975">
              <w:rPr>
                <w:rFonts w:asciiTheme="majorBidi" w:hAnsiTheme="majorBidi" w:cstheme="majorBidi"/>
                <w:lang w:val="en-GB"/>
              </w:rPr>
              <w:t>I</w:t>
            </w:r>
            <w:r w:rsidR="00051374">
              <w:rPr>
                <w:rFonts w:asciiTheme="majorBidi" w:hAnsiTheme="majorBidi" w:cstheme="majorBidi"/>
                <w:lang w:val="en-GB"/>
              </w:rPr>
              <w:t xml:space="preserve">ntroduce </w:t>
            </w:r>
            <w:r w:rsidRPr="00B83975">
              <w:rPr>
                <w:rFonts w:asciiTheme="majorBidi" w:hAnsiTheme="majorBidi" w:cstheme="majorBidi"/>
                <w:lang w:val="en-GB"/>
              </w:rPr>
              <w:t>the intended</w:t>
            </w:r>
            <w:r w:rsidR="00051374">
              <w:rPr>
                <w:rFonts w:asciiTheme="majorBidi" w:hAnsiTheme="majorBidi" w:cstheme="majorBidi"/>
                <w:lang w:val="en-GB"/>
              </w:rPr>
              <w:t xml:space="preserve"> action,</w:t>
            </w:r>
            <w:r w:rsidRPr="00B83975">
              <w:rPr>
                <w:rFonts w:asciiTheme="majorBidi" w:hAnsiTheme="majorBidi" w:cstheme="majorBidi"/>
                <w:lang w:val="en-GB"/>
              </w:rPr>
              <w:t xml:space="preserve"> materials and/or interpretat</w:t>
            </w:r>
            <w:r w:rsidR="00141103">
              <w:rPr>
                <w:rFonts w:asciiTheme="majorBidi" w:hAnsiTheme="majorBidi" w:cstheme="majorBidi"/>
                <w:lang w:val="en-GB"/>
              </w:rPr>
              <w:t>ive repertoires supportive for the</w:t>
            </w:r>
            <w:r w:rsidRPr="00B83975">
              <w:rPr>
                <w:rFonts w:asciiTheme="majorBidi" w:hAnsiTheme="majorBidi" w:cstheme="majorBidi"/>
                <w:lang w:val="en-GB"/>
              </w:rPr>
              <w:t xml:space="preserve"> emergence</w:t>
            </w:r>
            <w:r w:rsidR="00F768A5">
              <w:rPr>
                <w:rFonts w:asciiTheme="majorBidi" w:hAnsiTheme="majorBidi" w:cstheme="majorBidi"/>
                <w:lang w:val="en-GB"/>
              </w:rPr>
              <w:t xml:space="preserve"> of certification in ward</w:t>
            </w:r>
            <w:r w:rsidR="00141103">
              <w:rPr>
                <w:rFonts w:asciiTheme="majorBidi" w:hAnsiTheme="majorBidi" w:cstheme="majorBidi"/>
                <w:lang w:val="en-GB"/>
              </w:rPr>
              <w:t>s</w:t>
            </w:r>
            <w:r w:rsidRPr="00B83975">
              <w:rPr>
                <w:rFonts w:asciiTheme="majorBidi" w:hAnsiTheme="majorBidi" w:cstheme="majorBidi"/>
                <w:lang w:val="en-GB"/>
              </w:rPr>
              <w:t>,</w:t>
            </w:r>
            <w:r w:rsidR="008540D7">
              <w:rPr>
                <w:rFonts w:asciiTheme="majorBidi" w:hAnsiTheme="majorBidi" w:cstheme="majorBidi"/>
                <w:lang w:val="en-GB"/>
              </w:rPr>
              <w:t xml:space="preserve"> by the proximity manager</w:t>
            </w:r>
            <w:r w:rsidR="00141103">
              <w:rPr>
                <w:rFonts w:asciiTheme="majorBidi" w:hAnsiTheme="majorBidi" w:cstheme="majorBidi"/>
                <w:lang w:val="en-GB"/>
              </w:rPr>
              <w:t>s</w:t>
            </w:r>
            <w:r w:rsidR="008540D7">
              <w:rPr>
                <w:rFonts w:asciiTheme="majorBidi" w:hAnsiTheme="majorBidi" w:cstheme="majorBidi"/>
                <w:lang w:val="en-GB"/>
              </w:rPr>
              <w:t xml:space="preserve"> or referents</w:t>
            </w:r>
            <w:r w:rsidR="00141103">
              <w:rPr>
                <w:rFonts w:asciiTheme="majorBidi" w:hAnsiTheme="majorBidi" w:cstheme="majorBidi"/>
                <w:lang w:val="en-GB"/>
              </w:rPr>
              <w:t xml:space="preserve"> of actions</w:t>
            </w:r>
            <w:r w:rsidR="008540D7">
              <w:rPr>
                <w:rFonts w:asciiTheme="majorBidi" w:hAnsiTheme="majorBidi" w:cstheme="majorBidi"/>
                <w:lang w:val="en-GB"/>
              </w:rPr>
              <w:t xml:space="preserve"> </w:t>
            </w:r>
            <w:r w:rsidR="00F768A5">
              <w:rPr>
                <w:rFonts w:asciiTheme="majorBidi" w:hAnsiTheme="majorBidi" w:cstheme="majorBidi"/>
                <w:lang w:val="en-GB"/>
              </w:rPr>
              <w:t>to</w:t>
            </w:r>
            <w:r w:rsidRPr="00B83975">
              <w:rPr>
                <w:rFonts w:asciiTheme="majorBidi" w:hAnsiTheme="majorBidi" w:cstheme="majorBidi"/>
                <w:lang w:val="en-GB"/>
              </w:rPr>
              <w:t xml:space="preserve"> professional (mainly nurses), </w:t>
            </w:r>
            <w:r w:rsidR="00141103">
              <w:rPr>
                <w:rFonts w:asciiTheme="majorBidi" w:hAnsiTheme="majorBidi" w:cstheme="majorBidi"/>
                <w:lang w:val="en-GB"/>
              </w:rPr>
              <w:t xml:space="preserve">this is according to each sector </w:t>
            </w:r>
            <w:r w:rsidRPr="00B83975">
              <w:rPr>
                <w:rFonts w:asciiTheme="majorBidi" w:hAnsiTheme="majorBidi" w:cstheme="majorBidi"/>
                <w:lang w:val="en-GB"/>
              </w:rPr>
              <w:t>action plan</w:t>
            </w:r>
            <w:r w:rsidR="00051374">
              <w:rPr>
                <w:rFonts w:asciiTheme="majorBidi" w:hAnsiTheme="majorBidi" w:cstheme="majorBidi"/>
                <w:lang w:val="en-GB"/>
              </w:rPr>
              <w:t xml:space="preserve"> defined on </w:t>
            </w:r>
            <w:r w:rsidR="00141103">
              <w:rPr>
                <w:rFonts w:asciiTheme="majorBidi" w:hAnsiTheme="majorBidi" w:cstheme="majorBidi"/>
                <w:lang w:val="en-GB"/>
              </w:rPr>
              <w:t xml:space="preserve">the </w:t>
            </w:r>
            <w:r w:rsidR="00051374">
              <w:rPr>
                <w:rFonts w:asciiTheme="majorBidi" w:hAnsiTheme="majorBidi" w:cstheme="majorBidi"/>
                <w:lang w:val="en-GB"/>
              </w:rPr>
              <w:t>action priority</w:t>
            </w:r>
            <w:r w:rsidRPr="00B83975">
              <w:rPr>
                <w:rFonts w:asciiTheme="majorBidi" w:hAnsiTheme="majorBidi" w:cstheme="majorBidi"/>
                <w:lang w:val="en-GB"/>
              </w:rPr>
              <w:t xml:space="preserve"> by the top and proximity </w:t>
            </w:r>
            <w:r w:rsidR="00051374" w:rsidRPr="00B83975">
              <w:rPr>
                <w:rFonts w:asciiTheme="majorBidi" w:hAnsiTheme="majorBidi" w:cstheme="majorBidi"/>
                <w:lang w:val="en-GB"/>
              </w:rPr>
              <w:t>managers</w:t>
            </w:r>
            <w:r w:rsidR="00177F31">
              <w:rPr>
                <w:rFonts w:asciiTheme="majorBidi" w:hAnsiTheme="majorBidi" w:cstheme="majorBidi"/>
                <w:lang w:val="en-GB"/>
              </w:rPr>
              <w:t xml:space="preserve"> and professionals</w:t>
            </w:r>
            <w:r w:rsidR="00051374" w:rsidRPr="00B83975">
              <w:rPr>
                <w:rFonts w:asciiTheme="majorBidi" w:hAnsiTheme="majorBidi" w:cstheme="majorBidi"/>
                <w:lang w:val="en-GB"/>
              </w:rPr>
              <w:t>.</w:t>
            </w:r>
          </w:p>
        </w:tc>
      </w:tr>
      <w:tr w:rsidR="00E06DEE" w:rsidRPr="00B83975" w:rsidTr="0016361C">
        <w:trPr>
          <w:trHeight w:val="990"/>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i w:val="0"/>
                <w:iCs w:val="0"/>
                <w:sz w:val="22"/>
                <w:lang w:val="en-GB"/>
              </w:rPr>
            </w:pPr>
          </w:p>
        </w:tc>
        <w:tc>
          <w:tcPr>
            <w:tcW w:w="2476" w:type="dxa"/>
            <w:vAlign w:val="center"/>
          </w:tcPr>
          <w:p w:rsidR="00E06DEE" w:rsidRPr="00B83975" w:rsidRDefault="00E06DEE" w:rsidP="00FB5024">
            <w:pPr>
              <w:spacing w:before="24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Articulation work </w:t>
            </w:r>
          </w:p>
        </w:tc>
        <w:tc>
          <w:tcPr>
            <w:tcW w:w="8220" w:type="dxa"/>
            <w:vAlign w:val="center"/>
          </w:tcPr>
          <w:p w:rsidR="00E06DEE" w:rsidRPr="00B83975" w:rsidRDefault="00DE7E36" w:rsidP="00141103">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Pr>
                <w:rFonts w:asciiTheme="majorBidi" w:hAnsiTheme="majorBidi" w:cstheme="majorBidi"/>
                <w:lang w:val="en-GB"/>
              </w:rPr>
              <w:t>S</w:t>
            </w:r>
            <w:r w:rsidR="00E06DEE" w:rsidRPr="00B83975">
              <w:rPr>
                <w:rFonts w:asciiTheme="majorBidi" w:hAnsiTheme="majorBidi" w:cstheme="majorBidi"/>
                <w:lang w:val="en-GB"/>
              </w:rPr>
              <w:t>upport and accompaniment</w:t>
            </w:r>
            <w:r w:rsidR="003C090B">
              <w:rPr>
                <w:rFonts w:asciiTheme="majorBidi" w:hAnsiTheme="majorBidi" w:cstheme="majorBidi"/>
                <w:lang w:val="en-GB"/>
              </w:rPr>
              <w:t xml:space="preserve"> of action</w:t>
            </w:r>
            <w:r w:rsidR="00E06DEE" w:rsidRPr="00B83975">
              <w:rPr>
                <w:rFonts w:asciiTheme="majorBidi" w:hAnsiTheme="majorBidi" w:cstheme="majorBidi"/>
                <w:lang w:val="en-GB"/>
              </w:rPr>
              <w:t>, actions’ referents roles (professionals), ensure regular and /or necessary forma</w:t>
            </w:r>
            <w:r w:rsidR="003C090B">
              <w:rPr>
                <w:rFonts w:asciiTheme="majorBidi" w:hAnsiTheme="majorBidi" w:cstheme="majorBidi"/>
                <w:lang w:val="en-GB"/>
              </w:rPr>
              <w:t>tion and technical assistance for</w:t>
            </w:r>
            <w:r w:rsidR="00E06DEE" w:rsidRPr="00B83975">
              <w:rPr>
                <w:rFonts w:asciiTheme="majorBidi" w:hAnsiTheme="majorBidi" w:cstheme="majorBidi"/>
                <w:lang w:val="en-GB"/>
              </w:rPr>
              <w:t xml:space="preserve"> professionals,</w:t>
            </w:r>
            <w:r w:rsidR="003C090B">
              <w:rPr>
                <w:rFonts w:asciiTheme="majorBidi" w:hAnsiTheme="majorBidi" w:cstheme="majorBidi"/>
                <w:lang w:val="en-GB"/>
              </w:rPr>
              <w:t xml:space="preserve"> the presence of shared culture,</w:t>
            </w:r>
            <w:r w:rsidR="00E06DEE" w:rsidRPr="00B83975">
              <w:rPr>
                <w:rFonts w:asciiTheme="majorBidi" w:hAnsiTheme="majorBidi" w:cstheme="majorBidi"/>
                <w:lang w:val="en-GB"/>
              </w:rPr>
              <w:t xml:space="preserve"> </w:t>
            </w:r>
            <w:r w:rsidR="003C090B">
              <w:rPr>
                <w:rFonts w:asciiTheme="majorBidi" w:hAnsiTheme="majorBidi" w:cstheme="majorBidi"/>
                <w:lang w:val="en-GB"/>
              </w:rPr>
              <w:t xml:space="preserve">the </w:t>
            </w:r>
            <w:r w:rsidR="00E06DEE" w:rsidRPr="00B83975">
              <w:rPr>
                <w:rFonts w:asciiTheme="majorBidi" w:hAnsiTheme="majorBidi" w:cstheme="majorBidi"/>
                <w:lang w:val="en-GB"/>
              </w:rPr>
              <w:t>regular</w:t>
            </w:r>
            <w:r w:rsidR="003C090B">
              <w:rPr>
                <w:rFonts w:asciiTheme="majorBidi" w:hAnsiTheme="majorBidi" w:cstheme="majorBidi"/>
                <w:lang w:val="en-GB"/>
              </w:rPr>
              <w:t xml:space="preserve"> and on-going meetings over the process of implementation, between the referent of action and proximity manager, the steering committee</w:t>
            </w:r>
            <w:r w:rsidR="0016361C">
              <w:rPr>
                <w:rFonts w:asciiTheme="majorBidi" w:hAnsiTheme="majorBidi" w:cstheme="majorBidi"/>
                <w:lang w:val="en-GB"/>
              </w:rPr>
              <w:t xml:space="preserve"> and managers, departmental meetings </w:t>
            </w:r>
            <w:r w:rsidR="003C090B">
              <w:rPr>
                <w:rFonts w:asciiTheme="majorBidi" w:hAnsiTheme="majorBidi" w:cstheme="majorBidi"/>
                <w:lang w:val="en-GB"/>
              </w:rPr>
              <w:t>especially for the cross-sectional care process or practices, quality meeting in each department.  Multidisciplinary team</w:t>
            </w:r>
            <w:r w:rsidR="00051374">
              <w:rPr>
                <w:rFonts w:asciiTheme="majorBidi" w:hAnsiTheme="majorBidi" w:cstheme="majorBidi"/>
                <w:lang w:val="en-GB"/>
              </w:rPr>
              <w:t xml:space="preserve"> work</w:t>
            </w:r>
            <w:r w:rsidR="003C090B">
              <w:rPr>
                <w:rFonts w:asciiTheme="majorBidi" w:hAnsiTheme="majorBidi" w:cstheme="majorBidi"/>
                <w:lang w:val="en-GB"/>
              </w:rPr>
              <w:t xml:space="preserve">, nurse organizing work and coordinating with other professional. </w:t>
            </w:r>
          </w:p>
        </w:tc>
      </w:tr>
      <w:tr w:rsidR="00E06DEE" w:rsidRPr="00B83975" w:rsidTr="0016361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i w:val="0"/>
                <w:iCs w:val="0"/>
                <w:sz w:val="22"/>
                <w:lang w:val="en-GB"/>
              </w:rPr>
            </w:pPr>
          </w:p>
        </w:tc>
        <w:tc>
          <w:tcPr>
            <w:tcW w:w="2476" w:type="dxa"/>
            <w:vAlign w:val="center"/>
          </w:tcPr>
          <w:p w:rsidR="00E06DEE" w:rsidRPr="00B83975" w:rsidRDefault="00E06DEE" w:rsidP="00FB5024">
            <w:pPr>
              <w:spacing w:before="24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Translation </w:t>
            </w:r>
          </w:p>
        </w:tc>
        <w:tc>
          <w:tcPr>
            <w:tcW w:w="8220" w:type="dxa"/>
            <w:vAlign w:val="center"/>
          </w:tcPr>
          <w:p w:rsidR="00E06DEE" w:rsidRPr="00B83975" w:rsidRDefault="00FF24E4" w:rsidP="00FF24E4">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Pr>
                <w:rFonts w:asciiTheme="majorBidi" w:hAnsiTheme="majorBidi" w:cstheme="majorBidi"/>
                <w:lang w:val="en-GB"/>
              </w:rPr>
              <w:t>The proximity managers and action referents c</w:t>
            </w:r>
            <w:r w:rsidR="00E06DEE" w:rsidRPr="00B83975">
              <w:rPr>
                <w:rFonts w:asciiTheme="majorBidi" w:hAnsiTheme="majorBidi" w:cstheme="majorBidi"/>
                <w:lang w:val="en-GB"/>
              </w:rPr>
              <w:t>ommunicate</w:t>
            </w:r>
            <w:r>
              <w:rPr>
                <w:rFonts w:asciiTheme="majorBidi" w:hAnsiTheme="majorBidi" w:cstheme="majorBidi"/>
                <w:lang w:val="en-GB"/>
              </w:rPr>
              <w:t xml:space="preserve"> with nurses</w:t>
            </w:r>
            <w:r w:rsidR="00E06DEE" w:rsidRPr="00B83975">
              <w:rPr>
                <w:rFonts w:asciiTheme="majorBidi" w:hAnsiTheme="majorBidi" w:cstheme="majorBidi"/>
                <w:lang w:val="en-GB"/>
              </w:rPr>
              <w:t xml:space="preserve"> the perceived benefits and needs </w:t>
            </w:r>
            <w:r>
              <w:rPr>
                <w:rFonts w:asciiTheme="majorBidi" w:hAnsiTheme="majorBidi" w:cstheme="majorBidi"/>
                <w:lang w:val="en-GB"/>
              </w:rPr>
              <w:t>of the implemented action and certification procedure, as well as, top leaders ensure to diffuse the importance of the intended change over a certification be</w:t>
            </w:r>
            <w:r w:rsidR="00E06DEE" w:rsidRPr="00B83975">
              <w:rPr>
                <w:rFonts w:asciiTheme="majorBidi" w:hAnsiTheme="majorBidi" w:cstheme="majorBidi"/>
                <w:lang w:val="en-GB"/>
              </w:rPr>
              <w:t xml:space="preserve">tween </w:t>
            </w:r>
            <w:r>
              <w:rPr>
                <w:rFonts w:asciiTheme="majorBidi" w:hAnsiTheme="majorBidi" w:cstheme="majorBidi"/>
                <w:lang w:val="en-GB"/>
              </w:rPr>
              <w:t xml:space="preserve">the different </w:t>
            </w:r>
            <w:r w:rsidR="00E06DEE" w:rsidRPr="00B83975">
              <w:rPr>
                <w:rFonts w:asciiTheme="majorBidi" w:hAnsiTheme="majorBidi" w:cstheme="majorBidi"/>
                <w:lang w:val="en-GB"/>
              </w:rPr>
              <w:t>managers</w:t>
            </w:r>
            <w:r>
              <w:rPr>
                <w:rFonts w:asciiTheme="majorBidi" w:hAnsiTheme="majorBidi" w:cstheme="majorBidi"/>
                <w:lang w:val="en-GB"/>
              </w:rPr>
              <w:t xml:space="preserve"> and decision makers. And present how it can</w:t>
            </w:r>
            <w:r w:rsidR="00E06DEE" w:rsidRPr="00B83975">
              <w:rPr>
                <w:rFonts w:asciiTheme="majorBidi" w:hAnsiTheme="majorBidi" w:cstheme="majorBidi"/>
                <w:lang w:val="en-GB"/>
              </w:rPr>
              <w:t xml:space="preserve"> meet </w:t>
            </w:r>
            <w:r>
              <w:rPr>
                <w:rFonts w:asciiTheme="majorBidi" w:hAnsiTheme="majorBidi" w:cstheme="majorBidi"/>
                <w:lang w:val="en-GB"/>
              </w:rPr>
              <w:t xml:space="preserve">the </w:t>
            </w:r>
            <w:r w:rsidR="00E06DEE" w:rsidRPr="00B83975">
              <w:rPr>
                <w:rFonts w:asciiTheme="majorBidi" w:hAnsiTheme="majorBidi" w:cstheme="majorBidi"/>
                <w:lang w:val="en-GB"/>
              </w:rPr>
              <w:t>organisation vision and mission, in terms care quality</w:t>
            </w:r>
            <w:r>
              <w:rPr>
                <w:rFonts w:asciiTheme="majorBidi" w:hAnsiTheme="majorBidi" w:cstheme="majorBidi"/>
                <w:lang w:val="en-GB"/>
              </w:rPr>
              <w:t xml:space="preserve"> and safety improvement and also for the</w:t>
            </w:r>
            <w:r w:rsidR="00E06DEE" w:rsidRPr="00B83975">
              <w:rPr>
                <w:rFonts w:asciiTheme="majorBidi" w:hAnsiTheme="majorBidi" w:cstheme="majorBidi"/>
                <w:lang w:val="en-GB"/>
              </w:rPr>
              <w:t xml:space="preserve"> public authority</w:t>
            </w:r>
            <w:r>
              <w:rPr>
                <w:rFonts w:asciiTheme="majorBidi" w:hAnsiTheme="majorBidi" w:cstheme="majorBidi"/>
                <w:lang w:val="en-GB"/>
              </w:rPr>
              <w:t>.</w:t>
            </w:r>
            <w:r w:rsidR="00E06DEE" w:rsidRPr="00B83975">
              <w:rPr>
                <w:rFonts w:asciiTheme="majorBidi" w:hAnsiTheme="majorBidi" w:cstheme="majorBidi"/>
                <w:lang w:val="en-GB"/>
              </w:rPr>
              <w:t xml:space="preserve">  </w:t>
            </w:r>
          </w:p>
        </w:tc>
      </w:tr>
      <w:tr w:rsidR="00E06DEE" w:rsidRPr="00B83975" w:rsidTr="0016361C">
        <w:trPr>
          <w:trHeight w:val="1343"/>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i w:val="0"/>
                <w:iCs w:val="0"/>
                <w:sz w:val="22"/>
                <w:lang w:val="en-GB"/>
              </w:rPr>
            </w:pPr>
          </w:p>
        </w:tc>
        <w:tc>
          <w:tcPr>
            <w:tcW w:w="2476" w:type="dxa"/>
            <w:vAlign w:val="center"/>
          </w:tcPr>
          <w:p w:rsidR="00E06DEE" w:rsidRPr="00B83975" w:rsidRDefault="00E06DEE" w:rsidP="00FB5024">
            <w:pPr>
              <w:spacing w:before="24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Reflexive monitoring </w:t>
            </w:r>
          </w:p>
        </w:tc>
        <w:tc>
          <w:tcPr>
            <w:tcW w:w="8220" w:type="dxa"/>
            <w:vAlign w:val="center"/>
          </w:tcPr>
          <w:p w:rsidR="00E06DEE" w:rsidRPr="00B83975" w:rsidRDefault="00403FD6" w:rsidP="00403FD6">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Pr>
                <w:rFonts w:asciiTheme="majorBidi" w:hAnsiTheme="majorBidi" w:cstheme="majorBidi"/>
                <w:lang w:val="en-GB"/>
              </w:rPr>
              <w:t>nurses’ feedbacks during team meetings, and from the referents of action about the action feasibility and acceptability</w:t>
            </w:r>
            <w:r w:rsidR="00E06DEE" w:rsidRPr="00B83975">
              <w:rPr>
                <w:rFonts w:asciiTheme="majorBidi" w:hAnsiTheme="majorBidi" w:cstheme="majorBidi"/>
                <w:lang w:val="en-GB"/>
              </w:rPr>
              <w:t xml:space="preserve">, </w:t>
            </w:r>
            <w:r>
              <w:rPr>
                <w:rFonts w:asciiTheme="majorBidi" w:hAnsiTheme="majorBidi" w:cstheme="majorBidi"/>
                <w:lang w:val="en-GB"/>
              </w:rPr>
              <w:t xml:space="preserve">the presence </w:t>
            </w:r>
            <w:r w:rsidR="00E06DEE" w:rsidRPr="00B83975">
              <w:rPr>
                <w:rFonts w:asciiTheme="majorBidi" w:hAnsiTheme="majorBidi" w:cstheme="majorBidi"/>
                <w:lang w:val="en-GB"/>
              </w:rPr>
              <w:t xml:space="preserve"> auditing system, </w:t>
            </w:r>
            <w:r>
              <w:rPr>
                <w:rFonts w:asciiTheme="majorBidi" w:hAnsiTheme="majorBidi" w:cstheme="majorBidi"/>
                <w:lang w:val="en-GB"/>
              </w:rPr>
              <w:t xml:space="preserve">the follow up of </w:t>
            </w:r>
            <w:r w:rsidR="00E06DEE" w:rsidRPr="00B83975">
              <w:rPr>
                <w:rFonts w:asciiTheme="majorBidi" w:hAnsiTheme="majorBidi" w:cstheme="majorBidi"/>
                <w:lang w:val="en-GB"/>
              </w:rPr>
              <w:t xml:space="preserve">performance tables, Bord table, adverse events rate, morbidity, different indicators allied with the objective of action plan </w:t>
            </w:r>
          </w:p>
        </w:tc>
      </w:tr>
      <w:tr w:rsidR="00E06DEE" w:rsidRPr="00B83975" w:rsidTr="0016361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E06DEE" w:rsidRPr="00B83975" w:rsidRDefault="00E06DEE" w:rsidP="00FB5024">
            <w:pPr>
              <w:spacing w:before="240" w:line="360" w:lineRule="auto"/>
              <w:jc w:val="left"/>
              <w:rPr>
                <w:rFonts w:asciiTheme="majorBidi" w:hAnsiTheme="majorBidi"/>
                <w:i w:val="0"/>
                <w:iCs w:val="0"/>
                <w:sz w:val="22"/>
                <w:lang w:val="en-GB"/>
              </w:rPr>
            </w:pPr>
          </w:p>
        </w:tc>
        <w:tc>
          <w:tcPr>
            <w:tcW w:w="2476" w:type="dxa"/>
            <w:vAlign w:val="center"/>
          </w:tcPr>
          <w:p w:rsidR="00E06DEE" w:rsidRPr="00B83975" w:rsidRDefault="00E06DEE" w:rsidP="00FB5024">
            <w:pPr>
              <w:spacing w:before="24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GB"/>
              </w:rPr>
            </w:pPr>
            <w:r w:rsidRPr="00B83975">
              <w:rPr>
                <w:rFonts w:asciiTheme="majorBidi" w:hAnsiTheme="majorBidi" w:cstheme="majorBidi"/>
                <w:b/>
                <w:bCs/>
                <w:lang w:val="en-GB"/>
              </w:rPr>
              <w:t xml:space="preserve">Sense-making </w:t>
            </w:r>
          </w:p>
        </w:tc>
        <w:tc>
          <w:tcPr>
            <w:tcW w:w="8220" w:type="dxa"/>
            <w:vAlign w:val="center"/>
          </w:tcPr>
          <w:p w:rsidR="00E06DEE" w:rsidRPr="00B83975" w:rsidRDefault="00403FD6" w:rsidP="00403FD6">
            <w:pPr>
              <w:keepNext/>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GB"/>
              </w:rPr>
            </w:pPr>
            <w:r>
              <w:rPr>
                <w:rFonts w:asciiTheme="majorBidi" w:hAnsiTheme="majorBidi" w:cstheme="majorBidi"/>
                <w:lang w:val="en-GB"/>
              </w:rPr>
              <w:t>The nurses</w:t>
            </w:r>
            <w:r w:rsidR="00E06DEE" w:rsidRPr="00B83975">
              <w:rPr>
                <w:rFonts w:asciiTheme="majorBidi" w:hAnsiTheme="majorBidi" w:cstheme="majorBidi"/>
                <w:lang w:val="en-GB"/>
              </w:rPr>
              <w:t>’ active engagement</w:t>
            </w:r>
            <w:r>
              <w:rPr>
                <w:rFonts w:asciiTheme="majorBidi" w:hAnsiTheme="majorBidi" w:cstheme="majorBidi"/>
                <w:lang w:val="en-GB"/>
              </w:rPr>
              <w:t xml:space="preserve"> in the process of implementation</w:t>
            </w:r>
            <w:r w:rsidR="00E06DEE" w:rsidRPr="00B83975">
              <w:rPr>
                <w:rFonts w:asciiTheme="majorBidi" w:hAnsiTheme="majorBidi" w:cstheme="majorBidi"/>
                <w:lang w:val="en-GB"/>
              </w:rPr>
              <w:t xml:space="preserve">, and </w:t>
            </w:r>
            <w:r>
              <w:rPr>
                <w:rFonts w:asciiTheme="majorBidi" w:hAnsiTheme="majorBidi" w:cstheme="majorBidi"/>
                <w:lang w:val="en-GB"/>
              </w:rPr>
              <w:t>nurses play the role of referent of action, nurses are implicated to redact and up-date protocols</w:t>
            </w:r>
            <w:r w:rsidR="00E06DEE" w:rsidRPr="00B83975">
              <w:rPr>
                <w:rFonts w:asciiTheme="majorBidi" w:hAnsiTheme="majorBidi" w:cstheme="majorBidi"/>
                <w:lang w:val="en-GB"/>
              </w:rPr>
              <w:t>,</w:t>
            </w:r>
            <w:r>
              <w:rPr>
                <w:rFonts w:asciiTheme="majorBidi" w:hAnsiTheme="majorBidi" w:cstheme="majorBidi"/>
                <w:lang w:val="en-GB"/>
              </w:rPr>
              <w:t xml:space="preserve"> nurses take the responsibility to carry audit in other departments, there are test phase for the action nurses responsible to give their feedback on the change implementation and how to improve to gain it sustainability. </w:t>
            </w:r>
          </w:p>
        </w:tc>
      </w:tr>
    </w:tbl>
    <w:p w:rsidR="005D76C2" w:rsidRPr="00B83975" w:rsidRDefault="005D76C2" w:rsidP="00E06DEE">
      <w:pPr>
        <w:pStyle w:val="Lgende"/>
        <w:rPr>
          <w:rFonts w:asciiTheme="majorBidi" w:hAnsiTheme="majorBidi" w:cstheme="majorBidi"/>
          <w:lang w:val="en-GB"/>
        </w:rPr>
      </w:pPr>
    </w:p>
    <w:p w:rsidR="000E671D" w:rsidRPr="00CF4EC1" w:rsidRDefault="000E671D" w:rsidP="000E671D">
      <w:pPr>
        <w:spacing w:line="480" w:lineRule="auto"/>
        <w:jc w:val="center"/>
        <w:rPr>
          <w:rFonts w:asciiTheme="majorBidi" w:hAnsiTheme="majorBidi" w:cstheme="majorBidi"/>
          <w:b/>
          <w:bCs/>
        </w:rPr>
      </w:pPr>
    </w:p>
    <w:p w:rsidR="000E671D" w:rsidRPr="00B83975" w:rsidRDefault="000E671D" w:rsidP="000E671D">
      <w:pPr>
        <w:spacing w:line="480" w:lineRule="auto"/>
        <w:jc w:val="both"/>
        <w:rPr>
          <w:rFonts w:asciiTheme="majorBidi" w:hAnsiTheme="majorBidi" w:cstheme="majorBidi"/>
          <w:lang w:val="en-GB"/>
        </w:rPr>
      </w:pPr>
      <w:r w:rsidRPr="00CF4EC1">
        <w:rPr>
          <w:rFonts w:asciiTheme="majorBidi" w:hAnsiTheme="majorBidi" w:cstheme="majorBidi"/>
          <w:b/>
          <w:bCs/>
          <w:sz w:val="24"/>
          <w:szCs w:val="24"/>
          <w:lang w:val="en-GB"/>
        </w:rPr>
        <w:t>Table 2</w:t>
      </w:r>
      <w:r w:rsidRPr="00B83975">
        <w:rPr>
          <w:rFonts w:asciiTheme="majorBidi" w:hAnsiTheme="majorBidi" w:cstheme="majorBidi"/>
          <w:sz w:val="24"/>
          <w:szCs w:val="24"/>
          <w:lang w:val="en-GB"/>
        </w:rPr>
        <w:t xml:space="preserve">. presents the results  of analysis using the Translation Mobilisation Theory </w:t>
      </w:r>
      <w:r>
        <w:rPr>
          <w:rFonts w:asciiTheme="majorBidi" w:hAnsiTheme="majorBidi" w:cstheme="majorBidi"/>
          <w:sz w:val="24"/>
          <w:szCs w:val="24"/>
          <w:lang w:val="en-GB"/>
        </w:rPr>
        <w:t xml:space="preserve"> (TMT) </w:t>
      </w:r>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 ADDIN ZOTERO_ITEM CSL_CITATION {"citationID":"HK7lr3pF","properties":{"formattedCitation":"(1)","plainCitation":"(1)","noteIndex":0},"citationItems":[{"id":43,"uris":["http://zotero.org/users/6476907/items/FMYIYU98"],"uri":["http://zotero.org/users/6476907/items/FMYIYU98"],"itemData":{"id":43,"type":"article-journal","abstract":"Understanding the relationship between emergent social phenomena and the stabilizing mechanisms that make collective action possible is a long-standing concern in social science, but remains an inadequately theorized area. This article sets out a middle range theory—translational mobilization theory—to address this challenge. Adopting a practice-based approach, we connect interactionist perspectives on social order, analyses of sociotechnical networks, and theories of strategic action fields, to describe and explain how projects of institutionally sanctioned collective action are progressed by actors interacting with and through socially constructed objects. Investigating these mechanisms is a prerequisite to advancing empirical and theoretical understanding of the complex organizational processes and structures that characterize contemporary society.","container-title":"SAGE Open","DOI":"10.1177/2158244017707993","ISSN":"2158-2440","issue":"2","journalAbbreviation":"SAGE Open","language":"en","note":"publisher: SAGE Publications","page":"2158244017707993","source":"SAGE Journals","title":"Organizing Practice and Practicing Organization: An Outline of Translational Mobilization Theory","title-short":"Organizing Practice and Practicing Organization","volume":"7","author":[{"family":"Allen","given":"Davina"},{"family":"May","given":"Carl"}],"issued":{"date-parts":[["2017",4,1]]}}}],"schema":"https://github.com/citation-style-language/schema/raw/master/csl-citation.json"} </w:instrText>
      </w:r>
      <w:r>
        <w:rPr>
          <w:rFonts w:asciiTheme="majorBidi" w:hAnsiTheme="majorBidi" w:cstheme="majorBidi"/>
          <w:sz w:val="24"/>
          <w:szCs w:val="24"/>
          <w:lang w:val="en-GB"/>
        </w:rPr>
        <w:fldChar w:fldCharType="separate"/>
      </w:r>
      <w:r w:rsidRPr="007727A6">
        <w:rPr>
          <w:rFonts w:ascii="Times New Roman" w:hAnsi="Times New Roman" w:cs="Times New Roman"/>
          <w:sz w:val="24"/>
        </w:rPr>
        <w:t>(1)</w:t>
      </w:r>
      <w:r>
        <w:rPr>
          <w:rFonts w:asciiTheme="majorBidi" w:hAnsiTheme="majorBidi" w:cstheme="majorBidi"/>
          <w:sz w:val="24"/>
          <w:szCs w:val="24"/>
          <w:lang w:val="en-GB"/>
        </w:rPr>
        <w:fldChar w:fldCharType="end"/>
      </w:r>
      <w:r>
        <w:rPr>
          <w:rFonts w:asciiTheme="majorBidi" w:hAnsiTheme="majorBidi" w:cstheme="majorBidi"/>
          <w:sz w:val="24"/>
          <w:szCs w:val="24"/>
          <w:lang w:val="en-GB"/>
        </w:rPr>
        <w:t>. T</w:t>
      </w:r>
      <w:r w:rsidRPr="00B83975">
        <w:rPr>
          <w:rFonts w:asciiTheme="majorBidi" w:hAnsiTheme="majorBidi" w:cstheme="majorBidi"/>
          <w:sz w:val="24"/>
          <w:szCs w:val="24"/>
          <w:lang w:val="en-GB"/>
        </w:rPr>
        <w:t>he methodology of analysis</w:t>
      </w:r>
      <w:r>
        <w:rPr>
          <w:rFonts w:asciiTheme="majorBidi" w:hAnsiTheme="majorBidi" w:cstheme="majorBidi"/>
          <w:sz w:val="24"/>
          <w:szCs w:val="24"/>
          <w:lang w:val="en-GB"/>
        </w:rPr>
        <w:t xml:space="preserve"> was conducted based on </w:t>
      </w:r>
      <w:r w:rsidRPr="00B83975">
        <w:rPr>
          <w:rFonts w:asciiTheme="majorBidi" w:hAnsiTheme="majorBidi" w:cstheme="majorBidi"/>
          <w:sz w:val="24"/>
          <w:szCs w:val="24"/>
          <w:lang w:val="en-GB"/>
        </w:rPr>
        <w:t>Operationaliz</w:t>
      </w:r>
      <w:r>
        <w:rPr>
          <w:rFonts w:asciiTheme="majorBidi" w:hAnsiTheme="majorBidi" w:cstheme="majorBidi"/>
          <w:sz w:val="24"/>
          <w:szCs w:val="24"/>
          <w:lang w:val="en-GB"/>
        </w:rPr>
        <w:t>ing</w:t>
      </w:r>
      <w:r w:rsidRPr="00B83975">
        <w:rPr>
          <w:rFonts w:asciiTheme="majorBidi" w:hAnsiTheme="majorBidi" w:cstheme="majorBidi"/>
          <w:sz w:val="24"/>
          <w:szCs w:val="24"/>
          <w:lang w:val="en-GB"/>
        </w:rPr>
        <w:t xml:space="preserve"> TMT</w:t>
      </w:r>
      <w:r>
        <w:rPr>
          <w:rFonts w:asciiTheme="majorBidi" w:hAnsiTheme="majorBidi" w:cstheme="majorBidi"/>
          <w:sz w:val="24"/>
          <w:szCs w:val="24"/>
          <w:lang w:val="en-GB"/>
        </w:rPr>
        <w:t xml:space="preserve"> table </w:t>
      </w:r>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 ADDIN ZOTERO_ITEM CSL_CITATION {"citationID":"RQZQfcMs","properties":{"formattedCitation":"(2)","plainCitation":"(2)","noteIndex":0},"citationItems":[{"id":544,"uris":["http://zotero.org/users/6476907/items/EUGC7C76"],"uri":["http://zotero.org/users/6476907/items/EUGC7C76"],"itemData":{"id":544,"type":"webpage","abstract":"How to use Translational Mobilisation Theory, with empirical research, literature reviews and evidence syntheses. Read examples, case studies and tables.","container-title":"Translational Mobilisation Theory","language":"en-US","title":"Using the theory","URL":"https://www.translationalmobilisationtheory.org/using-tmt","accessed":{"date-parts":[["2020",10,21]]}}}],"schema":"https://github.com/citation-style-language/schema/raw/master/csl-citation.json"} </w:instrText>
      </w:r>
      <w:r>
        <w:rPr>
          <w:rFonts w:asciiTheme="majorBidi" w:hAnsiTheme="majorBidi" w:cstheme="majorBidi"/>
          <w:sz w:val="24"/>
          <w:szCs w:val="24"/>
          <w:lang w:val="en-GB"/>
        </w:rPr>
        <w:fldChar w:fldCharType="separate"/>
      </w:r>
      <w:r w:rsidRPr="00D532FE">
        <w:rPr>
          <w:rFonts w:ascii="Times New Roman" w:hAnsi="Times New Roman" w:cs="Times New Roman"/>
          <w:sz w:val="24"/>
        </w:rPr>
        <w:t>(2)</w:t>
      </w:r>
      <w:r>
        <w:rPr>
          <w:rFonts w:asciiTheme="majorBidi" w:hAnsiTheme="majorBidi" w:cstheme="majorBidi"/>
          <w:sz w:val="24"/>
          <w:szCs w:val="24"/>
          <w:lang w:val="en-GB"/>
        </w:rPr>
        <w:fldChar w:fldCharType="end"/>
      </w:r>
      <w:r>
        <w:rPr>
          <w:rFonts w:asciiTheme="majorBidi" w:hAnsiTheme="majorBidi" w:cstheme="majorBidi"/>
          <w:sz w:val="24"/>
          <w:szCs w:val="24"/>
          <w:lang w:val="en-GB"/>
        </w:rPr>
        <w:t xml:space="preserve">, the interviewees’ narratives and supported by the observations and collected documents. The following table presents the </w:t>
      </w:r>
      <w:r w:rsidRPr="00B83975">
        <w:rPr>
          <w:rFonts w:asciiTheme="majorBidi" w:hAnsiTheme="majorBidi" w:cstheme="majorBidi"/>
          <w:sz w:val="24"/>
          <w:szCs w:val="24"/>
          <w:lang w:val="en-GB"/>
        </w:rPr>
        <w:t>core components</w:t>
      </w:r>
      <w:r>
        <w:rPr>
          <w:rFonts w:asciiTheme="majorBidi" w:hAnsiTheme="majorBidi" w:cstheme="majorBidi"/>
          <w:sz w:val="24"/>
          <w:szCs w:val="24"/>
          <w:lang w:val="en-GB"/>
        </w:rPr>
        <w:t xml:space="preserve"> of TMT which are: </w:t>
      </w:r>
      <w:r w:rsidRPr="00B83975">
        <w:rPr>
          <w:rFonts w:asciiTheme="majorBidi" w:hAnsiTheme="majorBidi" w:cstheme="majorBidi"/>
          <w:sz w:val="24"/>
          <w:szCs w:val="24"/>
          <w:lang w:val="en-GB"/>
        </w:rPr>
        <w:t xml:space="preserve">the project, the strategic action fields and </w:t>
      </w:r>
      <w:r>
        <w:rPr>
          <w:rFonts w:asciiTheme="majorBidi" w:hAnsiTheme="majorBidi" w:cstheme="majorBidi"/>
          <w:sz w:val="24"/>
          <w:szCs w:val="24"/>
          <w:lang w:val="en-GB"/>
        </w:rPr>
        <w:t>the mechanisms of mobilizations,</w:t>
      </w:r>
      <w:r w:rsidRPr="00B83975">
        <w:rPr>
          <w:rFonts w:asciiTheme="majorBidi" w:hAnsiTheme="majorBidi" w:cstheme="majorBidi"/>
          <w:sz w:val="24"/>
          <w:szCs w:val="24"/>
          <w:lang w:val="en-GB"/>
        </w:rPr>
        <w:t xml:space="preserve"> and</w:t>
      </w:r>
      <w:r>
        <w:rPr>
          <w:rFonts w:asciiTheme="majorBidi" w:hAnsiTheme="majorBidi" w:cstheme="majorBidi"/>
          <w:sz w:val="24"/>
          <w:szCs w:val="24"/>
          <w:lang w:val="en-GB"/>
        </w:rPr>
        <w:t xml:space="preserve"> their</w:t>
      </w:r>
      <w:r w:rsidRPr="00B83975">
        <w:rPr>
          <w:rFonts w:asciiTheme="majorBidi" w:hAnsiTheme="majorBidi" w:cstheme="majorBidi"/>
          <w:sz w:val="24"/>
          <w:szCs w:val="24"/>
          <w:lang w:val="en-GB"/>
        </w:rPr>
        <w:t xml:space="preserve"> elements, and </w:t>
      </w:r>
      <w:r>
        <w:rPr>
          <w:rFonts w:asciiTheme="majorBidi" w:hAnsiTheme="majorBidi" w:cstheme="majorBidi"/>
          <w:sz w:val="24"/>
          <w:szCs w:val="24"/>
          <w:lang w:val="en-GB"/>
        </w:rPr>
        <w:t>in third column how it was</w:t>
      </w:r>
      <w:r w:rsidRPr="00B83975">
        <w:rPr>
          <w:rFonts w:asciiTheme="majorBidi" w:hAnsiTheme="majorBidi" w:cstheme="majorBidi"/>
          <w:sz w:val="24"/>
          <w:szCs w:val="24"/>
          <w:lang w:val="en-GB"/>
        </w:rPr>
        <w:t xml:space="preserve"> figured out </w:t>
      </w:r>
      <w:r>
        <w:rPr>
          <w:rFonts w:asciiTheme="majorBidi" w:hAnsiTheme="majorBidi" w:cstheme="majorBidi"/>
          <w:sz w:val="24"/>
          <w:szCs w:val="24"/>
          <w:lang w:val="en-GB"/>
        </w:rPr>
        <w:t xml:space="preserve">from the experience of certification implementation </w:t>
      </w:r>
      <w:r w:rsidRPr="00B83975">
        <w:rPr>
          <w:rFonts w:asciiTheme="majorBidi" w:hAnsiTheme="majorBidi" w:cstheme="majorBidi"/>
          <w:sz w:val="24"/>
          <w:szCs w:val="24"/>
          <w:lang w:val="en-GB"/>
        </w:rPr>
        <w:t>within studied teaching hospital</w:t>
      </w:r>
      <w:r>
        <w:rPr>
          <w:rFonts w:asciiTheme="majorBidi" w:hAnsiTheme="majorBidi" w:cstheme="majorBidi"/>
          <w:sz w:val="24"/>
          <w:szCs w:val="24"/>
          <w:lang w:val="en-GB"/>
        </w:rPr>
        <w:t xml:space="preserve"> centre.</w:t>
      </w:r>
    </w:p>
    <w:p w:rsidR="00403FD6" w:rsidRDefault="00403FD6" w:rsidP="00A90615">
      <w:pPr>
        <w:spacing w:line="360" w:lineRule="auto"/>
        <w:jc w:val="both"/>
        <w:rPr>
          <w:rFonts w:asciiTheme="majorBidi" w:hAnsiTheme="majorBidi" w:cstheme="majorBidi"/>
          <w:b/>
          <w:bCs/>
          <w:sz w:val="24"/>
          <w:szCs w:val="24"/>
          <w:lang w:val="en-GB"/>
        </w:rPr>
      </w:pPr>
    </w:p>
    <w:p w:rsidR="00D532FE" w:rsidRPr="00A90615" w:rsidRDefault="00A95CF5" w:rsidP="00A90615">
      <w:pPr>
        <w:spacing w:line="360" w:lineRule="auto"/>
        <w:jc w:val="both"/>
        <w:rPr>
          <w:rFonts w:asciiTheme="majorBidi" w:hAnsiTheme="majorBidi" w:cstheme="majorBidi"/>
          <w:b/>
          <w:bCs/>
          <w:sz w:val="24"/>
          <w:szCs w:val="24"/>
          <w:lang w:val="en-GB"/>
        </w:rPr>
      </w:pPr>
      <w:r w:rsidRPr="00A90615">
        <w:rPr>
          <w:rFonts w:asciiTheme="majorBidi" w:hAnsiTheme="majorBidi" w:cstheme="majorBidi"/>
          <w:b/>
          <w:bCs/>
          <w:sz w:val="24"/>
          <w:szCs w:val="24"/>
          <w:lang w:val="en-GB"/>
        </w:rPr>
        <w:lastRenderedPageBreak/>
        <w:t>Reference</w:t>
      </w:r>
    </w:p>
    <w:p w:rsidR="00A95CF5" w:rsidRPr="00A90615" w:rsidRDefault="00A95CF5" w:rsidP="00A84C67">
      <w:pPr>
        <w:pStyle w:val="Paragraphedeliste"/>
        <w:numPr>
          <w:ilvl w:val="0"/>
          <w:numId w:val="1"/>
        </w:numPr>
        <w:spacing w:line="360" w:lineRule="auto"/>
        <w:jc w:val="both"/>
        <w:rPr>
          <w:rFonts w:asciiTheme="majorBidi" w:hAnsiTheme="majorBidi" w:cstheme="majorBidi"/>
          <w:lang w:val="en-GB"/>
        </w:rPr>
      </w:pPr>
      <w:r w:rsidRPr="00A90615">
        <w:rPr>
          <w:rFonts w:asciiTheme="majorBidi" w:hAnsiTheme="majorBidi" w:cstheme="majorBidi"/>
          <w:sz w:val="24"/>
          <w:szCs w:val="24"/>
          <w:lang w:val="en-GB"/>
        </w:rPr>
        <w:t>Allen D, May C. Organizing Practice and Practicing Organization: An Outline of Translational Mobilization Theory. SAGE Open. 2017 ;7(2):2158244017707993.</w:t>
      </w:r>
    </w:p>
    <w:p w:rsidR="00A90615" w:rsidRPr="00A90615" w:rsidRDefault="00A90615" w:rsidP="00231CD6">
      <w:pPr>
        <w:pStyle w:val="Paragraphedeliste"/>
        <w:numPr>
          <w:ilvl w:val="0"/>
          <w:numId w:val="1"/>
        </w:numPr>
        <w:spacing w:line="360" w:lineRule="auto"/>
        <w:jc w:val="both"/>
        <w:rPr>
          <w:rFonts w:asciiTheme="majorBidi" w:hAnsiTheme="majorBidi" w:cstheme="majorBidi"/>
          <w:lang w:val="en-GB"/>
        </w:rPr>
      </w:pPr>
      <w:r w:rsidRPr="00A90615">
        <w:rPr>
          <w:rFonts w:asciiTheme="majorBidi" w:hAnsiTheme="majorBidi" w:cstheme="majorBidi"/>
          <w:sz w:val="24"/>
          <w:szCs w:val="24"/>
        </w:rPr>
        <w:t xml:space="preserve">Davina Allen. Development [Internet]. Translational </w:t>
      </w:r>
      <w:proofErr w:type="spellStart"/>
      <w:r w:rsidRPr="00A90615">
        <w:rPr>
          <w:rFonts w:asciiTheme="majorBidi" w:hAnsiTheme="majorBidi" w:cstheme="majorBidi"/>
          <w:sz w:val="24"/>
          <w:szCs w:val="24"/>
        </w:rPr>
        <w:t>mobilisation</w:t>
      </w:r>
      <w:proofErr w:type="spellEnd"/>
      <w:r w:rsidRPr="00A90615">
        <w:rPr>
          <w:rFonts w:asciiTheme="majorBidi" w:hAnsiTheme="majorBidi" w:cstheme="majorBidi"/>
          <w:sz w:val="24"/>
          <w:szCs w:val="24"/>
        </w:rPr>
        <w:t xml:space="preserve"> theory. 2018 [cited 2020 Mar </w:t>
      </w:r>
      <w:r w:rsidR="00231CD6">
        <w:rPr>
          <w:rFonts w:asciiTheme="majorBidi" w:hAnsiTheme="majorBidi" w:cstheme="majorBidi"/>
          <w:sz w:val="24"/>
          <w:szCs w:val="24"/>
        </w:rPr>
        <w:t>20</w:t>
      </w:r>
      <w:r w:rsidRPr="00A90615">
        <w:rPr>
          <w:rFonts w:asciiTheme="majorBidi" w:hAnsiTheme="majorBidi" w:cstheme="majorBidi"/>
          <w:sz w:val="24"/>
          <w:szCs w:val="24"/>
        </w:rPr>
        <w:t>]. (Available from https://www.translationalmobilisationtheory.org/using-tmt)</w:t>
      </w:r>
    </w:p>
    <w:sectPr w:rsidR="00A90615" w:rsidRPr="00A90615" w:rsidSect="00E06DE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309D"/>
    <w:multiLevelType w:val="hybridMultilevel"/>
    <w:tmpl w:val="6E3C71A0"/>
    <w:lvl w:ilvl="0" w:tplc="C3DEC0AE">
      <w:start w:val="1"/>
      <w:numFmt w:val="decimal"/>
      <w:lvlText w:val="%1."/>
      <w:lvlJc w:val="left"/>
      <w:pPr>
        <w:ind w:left="360" w:hanging="360"/>
      </w:pPr>
      <w:rPr>
        <w:rFonts w:asciiTheme="majorBidi" w:hAnsiTheme="majorBidi" w:cstheme="maj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0"/>
    <w:rsid w:val="00051374"/>
    <w:rsid w:val="000A13F0"/>
    <w:rsid w:val="000E671D"/>
    <w:rsid w:val="00141103"/>
    <w:rsid w:val="0016361C"/>
    <w:rsid w:val="00177F31"/>
    <w:rsid w:val="001F5ADF"/>
    <w:rsid w:val="00231CD6"/>
    <w:rsid w:val="002A1FC6"/>
    <w:rsid w:val="00382B9A"/>
    <w:rsid w:val="003C090B"/>
    <w:rsid w:val="003E394C"/>
    <w:rsid w:val="00403FD6"/>
    <w:rsid w:val="00462688"/>
    <w:rsid w:val="005D76C2"/>
    <w:rsid w:val="006B259C"/>
    <w:rsid w:val="007727A6"/>
    <w:rsid w:val="008540D7"/>
    <w:rsid w:val="00961567"/>
    <w:rsid w:val="00A84C67"/>
    <w:rsid w:val="00A90615"/>
    <w:rsid w:val="00A95CF5"/>
    <w:rsid w:val="00A968C1"/>
    <w:rsid w:val="00AB3261"/>
    <w:rsid w:val="00B83975"/>
    <w:rsid w:val="00CF4EC1"/>
    <w:rsid w:val="00D06892"/>
    <w:rsid w:val="00D532FE"/>
    <w:rsid w:val="00D61DA1"/>
    <w:rsid w:val="00D86C8F"/>
    <w:rsid w:val="00DE7A5A"/>
    <w:rsid w:val="00DE7E36"/>
    <w:rsid w:val="00E06DEE"/>
    <w:rsid w:val="00F768A5"/>
    <w:rsid w:val="00FB5024"/>
    <w:rsid w:val="00FF2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2C88"/>
  <w15:chartTrackingRefBased/>
  <w15:docId w15:val="{C482F628-7732-4AB8-8232-2C3CBE1B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PlainTable51">
    <w:name w:val="Plain Table 51"/>
    <w:basedOn w:val="TableauNormal"/>
    <w:uiPriority w:val="45"/>
    <w:rsid w:val="00E06DEE"/>
    <w:pPr>
      <w:spacing w:after="0" w:line="240" w:lineRule="auto"/>
    </w:pPr>
    <w:rPr>
      <w:lang w:val="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gende">
    <w:name w:val="caption"/>
    <w:basedOn w:val="Normal"/>
    <w:next w:val="Normal"/>
    <w:uiPriority w:val="35"/>
    <w:unhideWhenUsed/>
    <w:qFormat/>
    <w:rsid w:val="00E06DEE"/>
    <w:pPr>
      <w:spacing w:after="200" w:line="240" w:lineRule="auto"/>
    </w:pPr>
    <w:rPr>
      <w:i/>
      <w:iCs/>
      <w:color w:val="44546A" w:themeColor="text2"/>
      <w:sz w:val="18"/>
      <w:szCs w:val="18"/>
    </w:rPr>
  </w:style>
  <w:style w:type="paragraph" w:styleId="Paragraphedeliste">
    <w:name w:val="List Paragraph"/>
    <w:basedOn w:val="Normal"/>
    <w:uiPriority w:val="34"/>
    <w:qFormat/>
    <w:rsid w:val="00A9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5973</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Israa Muhamed SALMA</dc:creator>
  <cp:keywords/>
  <dc:description/>
  <cp:lastModifiedBy>SALMA, Israa</cp:lastModifiedBy>
  <cp:revision>3</cp:revision>
  <dcterms:created xsi:type="dcterms:W3CDTF">2020-10-22T08:03:00Z</dcterms:created>
  <dcterms:modified xsi:type="dcterms:W3CDTF">2020-10-22T09:12:00Z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id="BVKpJXJ7"/&gt;&lt;style id="http://www.zotero.org/styles/vancouver" locale="en-US"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ies>
</file>