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90" w:rsidRPr="00F81190" w:rsidRDefault="00F81190" w:rsidP="00F81190">
      <w:pPr>
        <w:rPr>
          <w:rFonts w:ascii="Times New Roman" w:eastAsia="宋体" w:hAnsi="Times New Roman" w:cs="Times New Roman"/>
          <w:b/>
          <w:sz w:val="20"/>
          <w:szCs w:val="20"/>
        </w:rPr>
      </w:pPr>
      <w:r w:rsidRPr="00F81190">
        <w:rPr>
          <w:rFonts w:ascii="Times New Roman" w:eastAsia="宋体" w:hAnsi="Times New Roman" w:cs="Times New Roman"/>
          <w:b/>
          <w:sz w:val="20"/>
          <w:szCs w:val="20"/>
        </w:rPr>
        <w:t xml:space="preserve">Table S1. </w:t>
      </w:r>
      <w:r w:rsidRPr="00F81190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Characteristics of</w:t>
      </w:r>
      <w:r w:rsidRPr="00F81190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F81190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severe </w:t>
      </w:r>
      <w:r w:rsidRPr="00F81190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patients with COVID-19 and HBV co-infection.</w:t>
      </w:r>
    </w:p>
    <w:tbl>
      <w:tblPr>
        <w:tblStyle w:val="110"/>
        <w:tblW w:w="8152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560"/>
        <w:gridCol w:w="922"/>
      </w:tblGrid>
      <w:tr w:rsidR="00F81190" w:rsidRPr="00F81190" w:rsidTr="00484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81190" w:rsidRPr="00F81190" w:rsidRDefault="00F81190" w:rsidP="00F81190">
            <w:pPr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1418" w:type="dxa"/>
          </w:tcPr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All patients</w:t>
            </w:r>
          </w:p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N=105</w:t>
            </w:r>
          </w:p>
        </w:tc>
        <w:tc>
          <w:tcPr>
            <w:tcW w:w="1417" w:type="dxa"/>
          </w:tcPr>
          <w:p w:rsidR="00F81190" w:rsidRPr="00F81190" w:rsidRDefault="00F81190" w:rsidP="00F81190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Survivors</w:t>
            </w:r>
          </w:p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N=87</w:t>
            </w:r>
          </w:p>
        </w:tc>
        <w:tc>
          <w:tcPr>
            <w:tcW w:w="1560" w:type="dxa"/>
          </w:tcPr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Non-survivors</w:t>
            </w:r>
          </w:p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N=18</w:t>
            </w:r>
          </w:p>
        </w:tc>
        <w:tc>
          <w:tcPr>
            <w:tcW w:w="922" w:type="dxa"/>
          </w:tcPr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  <w:i/>
              </w:rPr>
              <w:t>P</w:t>
            </w:r>
            <w:r w:rsidRPr="00F81190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F81190" w:rsidRPr="00F81190" w:rsidRDefault="00F81190" w:rsidP="00F81190">
            <w:pPr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Median age (IQR), yr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62 (54,71)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62 (53, 70)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70 (58,75)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0.024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Gender, n (%)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F81190" w:rsidRPr="00F81190" w:rsidRDefault="00F81190" w:rsidP="00F81190">
            <w:pPr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  Female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45 (42.9)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39 (44.8)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6 (33.3)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0.370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81190" w:rsidRPr="00F81190" w:rsidRDefault="00F81190" w:rsidP="00F81190">
            <w:pPr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  Male</w:t>
            </w:r>
          </w:p>
        </w:tc>
        <w:tc>
          <w:tcPr>
            <w:tcW w:w="1418" w:type="dxa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60 (57.1)</w:t>
            </w:r>
          </w:p>
        </w:tc>
        <w:tc>
          <w:tcPr>
            <w:tcW w:w="1417" w:type="dxa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48 (55.2)</w:t>
            </w:r>
          </w:p>
        </w:tc>
        <w:tc>
          <w:tcPr>
            <w:tcW w:w="1560" w:type="dxa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12 (66.7)</w:t>
            </w:r>
          </w:p>
        </w:tc>
        <w:tc>
          <w:tcPr>
            <w:tcW w:w="922" w:type="dxa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--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Diabetes,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16 (15.2)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12 (13.8)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4 (22.2)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0.585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Hypertension,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38 (36.2)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29 (33.3)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9 (50.0)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0.180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Coronary heart disease,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11 (10.5)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8 (9.2)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3 (16.7)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0.603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COPD,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5 (4.8)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2 (2.3)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3 (16.7)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0.034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Pulmonary tuberculosis,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 (1.0)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 (1.1)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 (0)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NS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Cancer,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9 (8.6)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6 (6.9)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3 (16.7)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0.376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Cirrhosis,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15 (14.3)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11 (12.6)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4 (22.2)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0.492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HBV infection, n (%)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 HBeAg positive,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5 (4.8)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3 (3.4)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2 (11.1)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0.206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 HBeAb positive,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18 (17.1)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16 (18.4)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2 (11.1)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0.659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 HBcAb positive,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105 (100)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87 (100)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18 (100)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NS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Anti-HBV treatment history, n (%)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8 (7.6)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5 (5.7)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3 (16.7)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0.271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Time from symptom onset to admission, median (IQR), d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11 (8, 15)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11 (8, 16)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10 (7, 12)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0.195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Drugs treatment during hospitalization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Corticosteroid treatment,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55 (52.4)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40 (46.0)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15 (83.3)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0.004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IFN-α,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16 (15.2)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13 (14.9)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3 (16.7)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0.853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Thymosin treatment,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29 (27.6)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22 (25.3)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7 (38.9)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0.240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Anti-HBV treatment,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9 (8.6)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8 (9.2)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 (5.6)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0.968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Gamma globulin treatment,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36 (34.3)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25 (28.7)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11 (61.1)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0.008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Anticoagulant therapy, n (%)</w:t>
            </w:r>
          </w:p>
        </w:tc>
        <w:tc>
          <w:tcPr>
            <w:tcW w:w="1418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21 (20.0)</w:t>
            </w:r>
          </w:p>
        </w:tc>
        <w:tc>
          <w:tcPr>
            <w:tcW w:w="1417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14 (16.1)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7 (38.9)</w:t>
            </w:r>
          </w:p>
        </w:tc>
        <w:tc>
          <w:tcPr>
            <w:tcW w:w="922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81190">
              <w:rPr>
                <w:rFonts w:ascii="Times New Roman" w:hAnsi="Times New Roman" w:cs="Times New Roman"/>
                <w:bCs/>
              </w:rPr>
              <w:t>0.028</w:t>
            </w:r>
          </w:p>
        </w:tc>
      </w:tr>
    </w:tbl>
    <w:p w:rsidR="00F81190" w:rsidRPr="00F81190" w:rsidRDefault="00F81190" w:rsidP="00F81190">
      <w:pPr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  <w:lang w:bidi="ar"/>
        </w:rPr>
      </w:pP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COVID-19: coronavirus disease 2019, HBV: </w:t>
      </w:r>
      <w:r w:rsidRPr="00F8119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hepatitis B virus, IQR: interquartile range, IFN-α: </w:t>
      </w:r>
      <w:bookmarkStart w:id="0" w:name="_GoBack"/>
      <w:r w:rsidRPr="00437B55">
        <w:rPr>
          <w:rFonts w:ascii="Times New Roman" w:eastAsia="宋体" w:hAnsi="Times New Roman" w:cs="Times New Roman"/>
          <w:kern w:val="0"/>
          <w:sz w:val="20"/>
          <w:szCs w:val="20"/>
          <w:lang w:bidi="ar"/>
        </w:rPr>
        <w:t>interferon-α.</w:t>
      </w:r>
      <w:bookmarkEnd w:id="0"/>
      <w:r w:rsidRPr="00F81190">
        <w:rPr>
          <w:rFonts w:ascii="Times New Roman" w:eastAsia="宋体" w:hAnsi="Times New Roman" w:cs="Times New Roman"/>
          <w:color w:val="333333"/>
          <w:kern w:val="0"/>
          <w:sz w:val="20"/>
          <w:szCs w:val="20"/>
          <w:lang w:bidi="ar"/>
        </w:rPr>
        <w:t xml:space="preserve">                 </w:t>
      </w:r>
    </w:p>
    <w:p w:rsidR="00F81190" w:rsidRPr="00F81190" w:rsidRDefault="00F81190" w:rsidP="00F81190">
      <w:pPr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F81190">
        <w:rPr>
          <w:rFonts w:ascii="Times New Roman" w:eastAsia="宋体" w:hAnsi="Times New Roman" w:cs="Times New Roman"/>
          <w:i/>
          <w:iCs/>
          <w:color w:val="000000"/>
          <w:sz w:val="20"/>
          <w:szCs w:val="20"/>
        </w:rPr>
        <w:t xml:space="preserve">P </w:t>
      </w: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values indicate differences between </w:t>
      </w:r>
      <w:r w:rsidRPr="00F81190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survivors</w:t>
      </w: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 and non-survivors. </w:t>
      </w:r>
      <w:r w:rsidRPr="00F81190">
        <w:rPr>
          <w:rFonts w:ascii="Times New Roman" w:eastAsia="宋体" w:hAnsi="Times New Roman" w:cs="Times New Roman"/>
          <w:i/>
          <w:iCs/>
          <w:color w:val="000000"/>
          <w:sz w:val="20"/>
          <w:szCs w:val="20"/>
        </w:rPr>
        <w:t xml:space="preserve">P </w:t>
      </w: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>&lt; 0.05 was considered statistically significant.</w:t>
      </w:r>
    </w:p>
    <w:p w:rsidR="00F81190" w:rsidRPr="00F81190" w:rsidRDefault="00F81190" w:rsidP="00F81190">
      <w:pPr>
        <w:widowControl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F81190">
        <w:rPr>
          <w:rFonts w:ascii="Times New Roman" w:eastAsia="宋体" w:hAnsi="Times New Roman" w:cs="Times New Roman"/>
          <w:color w:val="000000"/>
          <w:sz w:val="20"/>
          <w:szCs w:val="20"/>
        </w:rPr>
        <w:br w:type="page"/>
      </w:r>
    </w:p>
    <w:p w:rsidR="00F81190" w:rsidRPr="00F81190" w:rsidRDefault="00F81190" w:rsidP="00F81190">
      <w:pP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F81190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lastRenderedPageBreak/>
        <w:t xml:space="preserve">Table S2. The laboratory findings of </w:t>
      </w:r>
      <w:r w:rsidRPr="00F81190">
        <w:rPr>
          <w:rFonts w:ascii="Times New Roman" w:eastAsia="宋体" w:hAnsi="Times New Roman" w:cs="Times New Roman"/>
          <w:b/>
          <w:bCs/>
          <w:sz w:val="20"/>
          <w:szCs w:val="20"/>
        </w:rPr>
        <w:t>severe</w:t>
      </w:r>
      <w:r w:rsidRPr="00F81190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patients with COVID-19 and HBV co-infection on admission. Values are median (IQR) unless stated otherwise.</w:t>
      </w:r>
    </w:p>
    <w:tbl>
      <w:tblPr>
        <w:tblStyle w:val="11"/>
        <w:tblW w:w="8330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560"/>
        <w:gridCol w:w="992"/>
      </w:tblGrid>
      <w:tr w:rsidR="00F81190" w:rsidRPr="00F81190" w:rsidTr="00484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</w:tcPr>
          <w:p w:rsidR="00F81190" w:rsidRPr="00F81190" w:rsidRDefault="00F81190" w:rsidP="00F81190">
            <w:pPr>
              <w:jc w:val="left"/>
              <w:rPr>
                <w:rFonts w:ascii="Times New Roman" w:hAnsi="Times New Roman"/>
              </w:rPr>
            </w:pPr>
            <w:r w:rsidRPr="00F81190">
              <w:rPr>
                <w:rFonts w:ascii="Times New Roman" w:hAnsi="Times New Roman"/>
              </w:rPr>
              <w:t>Characteristics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1190" w:rsidRPr="00F81190" w:rsidRDefault="00F81190" w:rsidP="00F81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F81190">
              <w:rPr>
                <w:rFonts w:ascii="Times New Roman" w:hAnsi="Times New Roman"/>
                <w:b/>
              </w:rPr>
              <w:t>All patients</w:t>
            </w:r>
          </w:p>
          <w:p w:rsidR="00F81190" w:rsidRPr="00F81190" w:rsidRDefault="00F81190" w:rsidP="00F81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F81190">
              <w:rPr>
                <w:rFonts w:ascii="Times New Roman" w:hAnsi="Times New Roman"/>
                <w:b/>
              </w:rPr>
              <w:t>N=105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1190" w:rsidRPr="00F81190" w:rsidRDefault="00F81190" w:rsidP="00F81190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81190">
              <w:rPr>
                <w:rFonts w:ascii="Times New Roman" w:hAnsi="Times New Roman"/>
                <w:b/>
                <w:bCs/>
              </w:rPr>
              <w:t xml:space="preserve">Survivors </w:t>
            </w:r>
          </w:p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F81190">
              <w:rPr>
                <w:rFonts w:ascii="Times New Roman" w:hAnsi="Times New Roman"/>
                <w:b/>
                <w:bCs/>
              </w:rPr>
              <w:t>N=87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F81190">
              <w:rPr>
                <w:rFonts w:ascii="Times New Roman" w:hAnsi="Times New Roman"/>
                <w:b/>
                <w:bCs/>
              </w:rPr>
              <w:t>Non-survivors</w:t>
            </w:r>
          </w:p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F81190">
              <w:rPr>
                <w:rFonts w:ascii="Times New Roman" w:hAnsi="Times New Roman"/>
                <w:b/>
                <w:bCs/>
              </w:rPr>
              <w:t>N=18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1190" w:rsidRPr="00F81190" w:rsidRDefault="00F81190" w:rsidP="00F81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</w:rPr>
            </w:pPr>
            <w:r w:rsidRPr="00F81190">
              <w:rPr>
                <w:rFonts w:ascii="Times New Roman" w:hAnsi="Times New Roman"/>
                <w:b/>
                <w:i/>
              </w:rPr>
              <w:t xml:space="preserve">P </w:t>
            </w:r>
            <w:r w:rsidRPr="00F81190">
              <w:rPr>
                <w:rFonts w:ascii="Times New Roman" w:hAnsi="Times New Roman"/>
                <w:b/>
              </w:rPr>
              <w:t>value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0C0C0" w:themeFill="text1" w:themeFillTint="3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Leukocyte count</w:t>
            </w:r>
          </w:p>
          <w:p w:rsidR="00F81190" w:rsidRPr="00F81190" w:rsidRDefault="00F81190" w:rsidP="00F81190">
            <w:pPr>
              <w:jc w:val="left"/>
            </w:pPr>
            <w:r w:rsidRPr="00F81190">
              <w:t>(3.5-9.5×10</w:t>
            </w:r>
            <w:r w:rsidRPr="00F81190">
              <w:rPr>
                <w:vertAlign w:val="superscript"/>
              </w:rPr>
              <w:t>9</w:t>
            </w:r>
            <w:r w:rsidRPr="00F81190">
              <w:t>/L)</w:t>
            </w:r>
          </w:p>
        </w:tc>
        <w:tc>
          <w:tcPr>
            <w:tcW w:w="1559" w:type="dxa"/>
            <w:shd w:val="clear" w:color="auto" w:fill="C0C0C0" w:themeFill="text1" w:themeFillTint="3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5.70 (4.17,8.10)</w:t>
            </w:r>
          </w:p>
        </w:tc>
        <w:tc>
          <w:tcPr>
            <w:tcW w:w="1559" w:type="dxa"/>
            <w:shd w:val="clear" w:color="auto" w:fill="C0C0C0" w:themeFill="text1" w:themeFillTint="3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5.48 (4.12,7.30)</w:t>
            </w:r>
          </w:p>
        </w:tc>
        <w:tc>
          <w:tcPr>
            <w:tcW w:w="1560" w:type="dxa"/>
            <w:shd w:val="clear" w:color="auto" w:fill="C0C0C0" w:themeFill="text1" w:themeFillTint="3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9.59 (4.91,15.7)</w:t>
            </w:r>
          </w:p>
        </w:tc>
        <w:tc>
          <w:tcPr>
            <w:tcW w:w="992" w:type="dxa"/>
            <w:shd w:val="clear" w:color="auto" w:fill="C0C0C0" w:themeFill="text1" w:themeFillTint="3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0.004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Neutrophil count</w:t>
            </w:r>
          </w:p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</w:pPr>
            <w:r w:rsidRPr="00F81190">
              <w:t>(1.8-6.3×10</w:t>
            </w:r>
            <w:r w:rsidRPr="00F81190">
              <w:rPr>
                <w:vertAlign w:val="superscript"/>
              </w:rPr>
              <w:t>9</w:t>
            </w:r>
            <w:r w:rsidRPr="00F81190">
              <w:t>/L)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3.97 (2.55,6.38)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3.52 (2.43,5.55)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7.35 (4.09,13.5)</w:t>
            </w:r>
          </w:p>
        </w:tc>
        <w:tc>
          <w:tcPr>
            <w:tcW w:w="992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0.002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Lymphocyte count</w:t>
            </w:r>
          </w:p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</w:pPr>
            <w:r w:rsidRPr="00F81190">
              <w:t>(1.1-3.2×10</w:t>
            </w:r>
            <w:r w:rsidRPr="00F81190">
              <w:rPr>
                <w:vertAlign w:val="superscript"/>
              </w:rPr>
              <w:t>9</w:t>
            </w:r>
            <w:r w:rsidRPr="00F81190">
              <w:t>/L)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0.97 (0.52, 1.44)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1.03(0.63, 1.51)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0.57 (0.46, 0.80)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0.001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ind w:firstLineChars="100" w:firstLine="201"/>
              <w:jc w:val="left"/>
            </w:pPr>
            <w:r w:rsidRPr="00F81190">
              <w:t>&lt;0.8 (n, %)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43 (41.0)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30 (34.5)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13 (72.2)</w:t>
            </w:r>
          </w:p>
        </w:tc>
        <w:tc>
          <w:tcPr>
            <w:tcW w:w="992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0.003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Platelet count</w:t>
            </w:r>
          </w:p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(125-350×10</w:t>
            </w:r>
            <w:r w:rsidRPr="00F81190">
              <w:rPr>
                <w:vertAlign w:val="superscript"/>
              </w:rPr>
              <w:t>9</w:t>
            </w:r>
            <w:r w:rsidRPr="00F81190">
              <w:t>/L)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187 (138, 245)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187 (151, 248)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173 (92, 229)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0.190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PT (10.5-13.5s)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11.9 (11.3,13.1)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11.8 (11.1, 12.0)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12.0 (11.4, 13.8)</w:t>
            </w:r>
          </w:p>
        </w:tc>
        <w:tc>
          <w:tcPr>
            <w:tcW w:w="992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0.433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INR (0.8-1.2)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1.01 (0.96, 1.11)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1.00(0.95, 1.10)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1.02 (0.97, 1.15)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0.505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D-dimer (0-0.5μg/ml)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0.70 (0.44, 1.85)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0.60 (0.40, 1.14)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2.24 (1.12, 6.36)</w:t>
            </w:r>
          </w:p>
        </w:tc>
        <w:tc>
          <w:tcPr>
            <w:tcW w:w="992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0.001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adjustRightInd w:val="0"/>
              <w:spacing w:before="19" w:after="19"/>
              <w:ind w:firstLineChars="100" w:firstLine="201"/>
              <w:jc w:val="left"/>
            </w:pPr>
            <w:r w:rsidRPr="00F81190">
              <w:t>&gt;1 (n, %)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38 (38.8)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25 (30.5)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13 (81.3)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rPr>
                <w:rFonts w:hint="eastAsia"/>
                <w:bCs/>
              </w:rPr>
              <w:t>&lt;</w:t>
            </w:r>
            <w:r w:rsidRPr="00F81190">
              <w:rPr>
                <w:bCs/>
              </w:rPr>
              <w:t>0.001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 xml:space="preserve">ALT (7-40U/L) 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32.5 (21.1, 53.5)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34.0 (21.0, 50.7)</w:t>
            </w:r>
          </w:p>
        </w:tc>
        <w:tc>
          <w:tcPr>
            <w:tcW w:w="1560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30.3 (24.1, 59.8)</w:t>
            </w:r>
          </w:p>
        </w:tc>
        <w:tc>
          <w:tcPr>
            <w:tcW w:w="992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0.738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AST (13-35U/L)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36.0 (26.0, 48.0)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35.0 (26.0, 45.0)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38.4 (29.4, 49.5)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0.471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ALP (50-135U/L)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75.0 (57.8, 88.2)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74.0 (56.3, 83.6)</w:t>
            </w:r>
          </w:p>
        </w:tc>
        <w:tc>
          <w:tcPr>
            <w:tcW w:w="1560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77.5 (68.3, 95.7)</w:t>
            </w:r>
          </w:p>
        </w:tc>
        <w:tc>
          <w:tcPr>
            <w:tcW w:w="992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0.116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Bilirubin (0-21μmmol/L)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12.7 (9.13, 17.6)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12.3 (8.60, 16.0)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15.5 (12.3, 20.6)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0.011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Prealbumin (180-350mg/L)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101 (60, 140.5)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98.5 (65.8,160.3)</w:t>
            </w:r>
          </w:p>
        </w:tc>
        <w:tc>
          <w:tcPr>
            <w:tcW w:w="1560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101(53,121)</w:t>
            </w:r>
          </w:p>
        </w:tc>
        <w:tc>
          <w:tcPr>
            <w:tcW w:w="992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0.452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Albumin (40-55g/L)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32.4 (29.1, 36.2)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33.4 (29.5, 37.4)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30.1 (27.4, 32.3)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0.001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 xml:space="preserve"> &lt; 30 (n, %)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33 (32.0)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24 (28.2)</w:t>
            </w:r>
          </w:p>
        </w:tc>
        <w:tc>
          <w:tcPr>
            <w:tcW w:w="1560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9 (50.0)</w:t>
            </w:r>
          </w:p>
        </w:tc>
        <w:tc>
          <w:tcPr>
            <w:tcW w:w="992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0.072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Total cholesterol (3.3-5.2mmoL/L)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3.66 (3.31, 4.03)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3.68 (3.32, 4.14)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3.62 (3.19,4.18)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0.796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 xml:space="preserve">Triglyceride </w:t>
            </w:r>
          </w:p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(0.51-1.70mmoL/L)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1.19 (0.90, 1.41)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1.20 (0.88, 1.50)</w:t>
            </w:r>
          </w:p>
        </w:tc>
        <w:tc>
          <w:tcPr>
            <w:tcW w:w="1560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1.18 (1.00, 1.24)</w:t>
            </w:r>
          </w:p>
        </w:tc>
        <w:tc>
          <w:tcPr>
            <w:tcW w:w="992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0.658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Low density lipoprotein</w:t>
            </w:r>
          </w:p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</w:pPr>
            <w:r w:rsidRPr="00F81190">
              <w:t>(2.1-3.37mmoL/L)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2.06 (1.75, 2.56)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2.03 (1.80, 2.51)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2.29 (1.61, 2.64)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0.731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High density lipoprotein</w:t>
            </w:r>
          </w:p>
          <w:p w:rsidR="00F81190" w:rsidRPr="00F81190" w:rsidRDefault="00F81190" w:rsidP="00F81190">
            <w:pPr>
              <w:adjustRightInd w:val="0"/>
              <w:spacing w:before="19" w:after="19"/>
              <w:ind w:firstLineChars="50" w:firstLine="100"/>
              <w:jc w:val="left"/>
            </w:pPr>
            <w:r w:rsidRPr="00F81190">
              <w:t>(1.29-1.55mmoL/L)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1.02 (0.81, 1.16)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1.03 (0.82, 1.17)</w:t>
            </w:r>
          </w:p>
        </w:tc>
        <w:tc>
          <w:tcPr>
            <w:tcW w:w="1560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0.85 (0.75, 1.07)</w:t>
            </w:r>
          </w:p>
        </w:tc>
        <w:tc>
          <w:tcPr>
            <w:tcW w:w="992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0.238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Serum creatinine (41-81μmol/L)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67.4 (58.8, 80.0)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67.4 (59.0, 81.3)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67.6 (57.2, 80.0)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0.969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High-sensitivity troponin (0-28pg/ml)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2.90 (1.53, 9.40)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2.70 (1.71, 7.95)</w:t>
            </w:r>
          </w:p>
        </w:tc>
        <w:tc>
          <w:tcPr>
            <w:tcW w:w="1560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4.10 (2.34, 13.0)</w:t>
            </w:r>
          </w:p>
        </w:tc>
        <w:tc>
          <w:tcPr>
            <w:tcW w:w="992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0.242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HS-CRP (0-5mg/L)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14.0 (6.70, 50.0)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10.7 (5.93, 45.2)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50.0 (10.0, 119)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0.004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IL-6 (0-7pg/ml)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9.19 (5.99, 12.7)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8.83 (5.88, 11.5)</w:t>
            </w:r>
          </w:p>
        </w:tc>
        <w:tc>
          <w:tcPr>
            <w:tcW w:w="1560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13.6 (8.67, 16.2)</w:t>
            </w:r>
          </w:p>
        </w:tc>
        <w:tc>
          <w:tcPr>
            <w:tcW w:w="992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0.067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Procalcitonin (0-0.05ng/ml)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0.05 (0.05, 0.10)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0.05 (0.05,0.07)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0.10 (0.05, 0.16)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0.021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t>LDH (120–250 U/L)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297 (226, 407)</w:t>
            </w:r>
          </w:p>
        </w:tc>
        <w:tc>
          <w:tcPr>
            <w:tcW w:w="1559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289 (216, 375)</w:t>
            </w:r>
          </w:p>
        </w:tc>
        <w:tc>
          <w:tcPr>
            <w:tcW w:w="1560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390 (294, 518)</w:t>
            </w:r>
          </w:p>
        </w:tc>
        <w:tc>
          <w:tcPr>
            <w:tcW w:w="992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0.027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lastRenderedPageBreak/>
              <w:t>ESR (0-20mm/h)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45.9 (30.0, 65.8)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45.2 (30.0,62.8)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49.3 (27.5, 71.6)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0.951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</w:pPr>
            <w:r w:rsidRPr="00F81190">
              <w:rPr>
                <w:rFonts w:eastAsia="Arial Unicode MS"/>
              </w:rPr>
              <w:t>APACHE II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5 (4, 8)</w:t>
            </w:r>
          </w:p>
        </w:tc>
        <w:tc>
          <w:tcPr>
            <w:tcW w:w="1559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5 (4, 9)</w:t>
            </w:r>
          </w:p>
        </w:tc>
        <w:tc>
          <w:tcPr>
            <w:tcW w:w="1560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10 (7, 18)</w:t>
            </w:r>
          </w:p>
        </w:tc>
        <w:tc>
          <w:tcPr>
            <w:tcW w:w="992" w:type="dxa"/>
            <w:shd w:val="clear" w:color="auto" w:fill="auto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rPr>
                <w:rFonts w:hint="eastAsia"/>
                <w:bCs/>
              </w:rPr>
              <w:t>&lt;</w:t>
            </w:r>
            <w:r w:rsidRPr="00F81190">
              <w:rPr>
                <w:bCs/>
              </w:rPr>
              <w:t>0.001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adjustRightInd w:val="0"/>
              <w:spacing w:before="19" w:after="19"/>
              <w:jc w:val="left"/>
              <w:rPr>
                <w:rFonts w:eastAsia="Arial Unicode MS"/>
              </w:rPr>
            </w:pPr>
            <w:r w:rsidRPr="00F81190">
              <w:t>SOFA score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rPr>
                <w:rFonts w:hint="eastAsia"/>
              </w:rPr>
              <w:t>2</w:t>
            </w:r>
            <w:r w:rsidRPr="00F81190">
              <w:t xml:space="preserve"> (1,3)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1 (1, 2)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t>3 (2,4)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90">
              <w:rPr>
                <w:rFonts w:hint="eastAsia"/>
                <w:bCs/>
              </w:rPr>
              <w:t>&lt;</w:t>
            </w:r>
            <w:r w:rsidRPr="00F81190">
              <w:rPr>
                <w:bCs/>
              </w:rPr>
              <w:t>0.001</w:t>
            </w:r>
          </w:p>
        </w:tc>
      </w:tr>
    </w:tbl>
    <w:p w:rsidR="00F81190" w:rsidRPr="00F81190" w:rsidRDefault="00F81190" w:rsidP="00F81190">
      <w:pPr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COVID-19: coronavirus disease 2019, HBV: </w:t>
      </w:r>
      <w:r w:rsidRPr="00F8119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Hepatitis B virus, </w:t>
      </w: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>PT:</w:t>
      </w:r>
      <w:r w:rsidRPr="00F8119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Prothrombin time, INR: International Normalized Ratio, ALT: Alanine amino transferase, AST: Aspartate aminotransferase, ALP: Alkaline phosphatase, HS-CRP: High sensitive c reaction protein, IL-6: interleukin-6, </w:t>
      </w:r>
      <w:r w:rsidRPr="00F81190">
        <w:rPr>
          <w:rFonts w:ascii="Times New Roman" w:eastAsia="宋体" w:hAnsi="Times New Roman" w:cs="Times New Roman"/>
          <w:sz w:val="20"/>
          <w:szCs w:val="20"/>
        </w:rPr>
        <w:t xml:space="preserve">LDH: Lactate dehydrogenase, ESR: Erythrocyte sedimentation rate. </w:t>
      </w:r>
      <w:r w:rsidRPr="00F81190">
        <w:rPr>
          <w:rFonts w:ascii="Times New Roman" w:eastAsia="Arial Unicode MS" w:hAnsi="Times New Roman" w:cs="Times New Roman"/>
          <w:sz w:val="20"/>
          <w:szCs w:val="20"/>
        </w:rPr>
        <w:t>APACHE II</w:t>
      </w:r>
      <w:r w:rsidRPr="00F81190">
        <w:rPr>
          <w:rFonts w:ascii="Times New Roman" w:eastAsia="宋体" w:hAnsi="Times New Roman" w:cs="Times New Roman"/>
          <w:sz w:val="20"/>
          <w:szCs w:val="20"/>
        </w:rPr>
        <w:t>: Acute Physiology and Chronic Health Evaluation Ⅱ, SOFA: Sequential Organ Failure Assessment.</w:t>
      </w:r>
      <w:r w:rsidRPr="00F8119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</w:p>
    <w:p w:rsidR="00F81190" w:rsidRPr="00F81190" w:rsidRDefault="00F81190" w:rsidP="00F81190">
      <w:pPr>
        <w:jc w:val="left"/>
        <w:rPr>
          <w:rFonts w:ascii="Times New Roman" w:eastAsia="宋体" w:hAnsi="Times New Roman" w:cs="Times New Roman"/>
          <w:bCs/>
          <w:color w:val="000000"/>
          <w:sz w:val="20"/>
          <w:szCs w:val="20"/>
        </w:rPr>
      </w:pPr>
      <w:r w:rsidRPr="00F81190">
        <w:rPr>
          <w:rFonts w:ascii="Times New Roman" w:eastAsia="宋体" w:hAnsi="Times New Roman" w:cs="Times New Roman"/>
          <w:i/>
          <w:iCs/>
          <w:color w:val="000000"/>
          <w:sz w:val="20"/>
          <w:szCs w:val="20"/>
        </w:rPr>
        <w:t xml:space="preserve">P </w:t>
      </w: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values indicate differences between survivors and non-survivors. </w:t>
      </w:r>
      <w:r w:rsidRPr="00F81190">
        <w:rPr>
          <w:rFonts w:ascii="Times New Roman" w:eastAsia="宋体" w:hAnsi="Times New Roman" w:cs="Times New Roman"/>
          <w:i/>
          <w:iCs/>
          <w:color w:val="000000"/>
          <w:sz w:val="20"/>
          <w:szCs w:val="20"/>
        </w:rPr>
        <w:t xml:space="preserve">P </w:t>
      </w: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&lt; 0.05 was considered statistically significant. </w:t>
      </w:r>
    </w:p>
    <w:p w:rsidR="00F81190" w:rsidRPr="00F81190" w:rsidRDefault="00F81190" w:rsidP="00F81190">
      <w:pPr>
        <w:widowControl/>
        <w:jc w:val="left"/>
        <w:rPr>
          <w:rFonts w:ascii="Times New Roman" w:eastAsia="宋体" w:hAnsi="Times New Roman" w:cs="Times New Roman"/>
          <w:bCs/>
          <w:color w:val="000000"/>
          <w:sz w:val="20"/>
          <w:szCs w:val="20"/>
        </w:rPr>
      </w:pP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br w:type="page"/>
      </w:r>
    </w:p>
    <w:p w:rsidR="00F81190" w:rsidRPr="00F81190" w:rsidRDefault="00F81190" w:rsidP="00F81190">
      <w:pPr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r w:rsidRPr="00F81190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lastRenderedPageBreak/>
        <w:t xml:space="preserve">Table </w:t>
      </w:r>
      <w:r w:rsidRPr="00F81190">
        <w:rPr>
          <w:rFonts w:ascii="Times New Roman" w:eastAsia="宋体" w:hAnsi="Times New Roman" w:cs="Times New Roman" w:hint="eastAsia"/>
          <w:b/>
          <w:bCs/>
          <w:color w:val="000000"/>
          <w:sz w:val="20"/>
          <w:szCs w:val="20"/>
        </w:rPr>
        <w:t>S3</w:t>
      </w:r>
      <w:r w:rsidRPr="00F81190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 xml:space="preserve">. General characteristics and cause of death of </w:t>
      </w:r>
      <w:r w:rsidRPr="00F81190">
        <w:rPr>
          <w:rFonts w:ascii="Times New Roman" w:eastAsia="宋体" w:hAnsi="Times New Roman" w:cs="Times New Roman"/>
          <w:b/>
          <w:bCs/>
          <w:sz w:val="20"/>
          <w:szCs w:val="20"/>
        </w:rPr>
        <w:t>severe</w:t>
      </w:r>
      <w:r w:rsidRPr="00F81190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 xml:space="preserve"> patients with COVID-19 and HBV co-infection </w:t>
      </w:r>
      <w:r w:rsidRPr="00F81190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>(</w:t>
      </w:r>
      <w:r w:rsidRPr="00F81190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 xml:space="preserve">16 </w:t>
      </w:r>
      <w:r w:rsidRPr="00F81190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corticosteroids</w:t>
      </w:r>
      <w:r w:rsidRPr="00F81190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1190">
        <w:rPr>
          <w:rFonts w:ascii="Times New Roman" w:eastAsia="宋体" w:hAnsi="Times New Roman" w:cs="Times New Roman"/>
          <w:b/>
          <w:color w:val="000000"/>
          <w:sz w:val="20"/>
          <w:szCs w:val="20"/>
        </w:rPr>
        <w:t>tr</w:t>
      </w:r>
      <w:r w:rsidRPr="00F81190">
        <w:rPr>
          <w:rFonts w:ascii="Times New Roman" w:eastAsia="宋体" w:hAnsi="Times New Roman" w:cs="Times New Roman"/>
          <w:b/>
          <w:sz w:val="20"/>
          <w:szCs w:val="20"/>
        </w:rPr>
        <w:t>eatment and 2 non</w:t>
      </w:r>
      <w:r w:rsidRPr="00F81190">
        <w:rPr>
          <w:rFonts w:ascii="Times New Roman" w:eastAsia="宋体" w:hAnsi="Times New Roman" w:cs="Times New Roman"/>
          <w:sz w:val="20"/>
          <w:szCs w:val="20"/>
        </w:rPr>
        <w:t>-</w:t>
      </w:r>
      <w:r w:rsidRPr="00F81190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corticosteroids</w:t>
      </w:r>
      <w:r w:rsidRPr="00F81190">
        <w:rPr>
          <w:rFonts w:ascii="Times New Roman" w:eastAsia="宋体" w:hAnsi="Times New Roman" w:cs="Times New Roman"/>
          <w:b/>
          <w:sz w:val="20"/>
          <w:szCs w:val="20"/>
        </w:rPr>
        <w:t xml:space="preserve"> treatment)</w:t>
      </w:r>
      <w:r w:rsidRPr="00F81190">
        <w:rPr>
          <w:rFonts w:ascii="Times New Roman" w:eastAsia="宋体" w:hAnsi="Times New Roman" w:cs="Times New Roman"/>
          <w:b/>
          <w:kern w:val="0"/>
          <w:sz w:val="20"/>
          <w:szCs w:val="20"/>
        </w:rPr>
        <w:t>.</w:t>
      </w:r>
    </w:p>
    <w:tbl>
      <w:tblPr>
        <w:tblStyle w:val="12"/>
        <w:tblW w:w="8364" w:type="dxa"/>
        <w:tblLayout w:type="fixed"/>
        <w:tblLook w:val="04A0" w:firstRow="1" w:lastRow="0" w:firstColumn="1" w:lastColumn="0" w:noHBand="0" w:noVBand="1"/>
      </w:tblPr>
      <w:tblGrid>
        <w:gridCol w:w="534"/>
        <w:gridCol w:w="674"/>
        <w:gridCol w:w="210"/>
        <w:gridCol w:w="425"/>
        <w:gridCol w:w="142"/>
        <w:gridCol w:w="924"/>
        <w:gridCol w:w="493"/>
        <w:gridCol w:w="1134"/>
        <w:gridCol w:w="1276"/>
        <w:gridCol w:w="2552"/>
      </w:tblGrid>
      <w:tr w:rsidR="00F81190" w:rsidRPr="00F81190" w:rsidTr="00484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884" w:type="dxa"/>
            <w:gridSpan w:val="2"/>
          </w:tcPr>
          <w:p w:rsidR="00F81190" w:rsidRPr="00F81190" w:rsidRDefault="00F81190" w:rsidP="00F81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67" w:type="dxa"/>
            <w:gridSpan w:val="2"/>
          </w:tcPr>
          <w:p w:rsidR="00F81190" w:rsidRPr="00F81190" w:rsidRDefault="00F81190" w:rsidP="00F81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417" w:type="dxa"/>
            <w:gridSpan w:val="2"/>
          </w:tcPr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Time from symptom onset to admission, d</w:t>
            </w:r>
          </w:p>
        </w:tc>
        <w:tc>
          <w:tcPr>
            <w:tcW w:w="1134" w:type="dxa"/>
          </w:tcPr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Time from symptom onset to death, d</w:t>
            </w:r>
          </w:p>
        </w:tc>
        <w:tc>
          <w:tcPr>
            <w:tcW w:w="1276" w:type="dxa"/>
          </w:tcPr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Highest </w:t>
            </w:r>
          </w:p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D-dimer </w:t>
            </w:r>
          </w:p>
          <w:p w:rsidR="00F81190" w:rsidRPr="00F81190" w:rsidRDefault="00F81190" w:rsidP="00F811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(0-0.5μg/ml)</w:t>
            </w:r>
          </w:p>
        </w:tc>
        <w:tc>
          <w:tcPr>
            <w:tcW w:w="2552" w:type="dxa"/>
          </w:tcPr>
          <w:p w:rsidR="00F81190" w:rsidRPr="00F81190" w:rsidRDefault="00F81190" w:rsidP="00F81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Cause of death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52.68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acute cardiac injury, acute liver injury, cardiac arrest.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21.14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DIC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acute cardiac injury, liver injury.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552" w:type="dxa"/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liver injury.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70.86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</w:t>
            </w:r>
            <w:r w:rsidRPr="00F81190">
              <w:rPr>
                <w:rFonts w:ascii="Times New Roman" w:hAnsi="Times New Roman" w:cs="Times New Roman"/>
              </w:rPr>
              <w:t>，</w:t>
            </w:r>
            <w:r w:rsidRPr="00F81190">
              <w:rPr>
                <w:rFonts w:ascii="Times New Roman" w:hAnsi="Times New Roman" w:cs="Times New Roman"/>
              </w:rPr>
              <w:t>liver failure, carcinoma of nasopharynx, type 2 diabetes.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22.24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sepsis shock, liver injury, acute kidney injury, DIC, primary hypertension.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11.39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liver injury, cardiac arrest, colorectal carcinoma.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Cerebral hemorrhage, moderate ARDS, primary hypertension, type 2 diabetes.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34.44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sepsis shock, liver injury, acute kidney injury, acute cardiac injury.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63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66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ind w:firstLineChars="100" w:firstLine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 53.44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liver injury.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66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ind w:firstLineChars="100" w:firstLine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 10.44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liver injury, primary hypertension, type 2 diabetes, coronary heart disease.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66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ind w:firstLineChars="100" w:firstLine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primary hypertension, coronary heart disease, COPD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66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sepsis shock, liver injury, acute kidney injury, acute cardiac injury, primary hypertension, type 2 diabetes.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6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DIC, massive alimentary hemorrhage, liver injury, acute cardiac injury.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6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sepsis shock, liver injury, acute kidney injury, acute cardiac injury, primary hypertension.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6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31.26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 xml:space="preserve">Severe ARDS, DIC, massive alimentary hemorrhage. 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66" w:type="dxa"/>
            <w:gridSpan w:val="2"/>
            <w:shd w:val="clear" w:color="auto" w:fill="BFBFBF" w:themeFill="background1" w:themeFillShade="BF"/>
          </w:tcPr>
          <w:p w:rsidR="00F81190" w:rsidRPr="00F81190" w:rsidRDefault="00F81190" w:rsidP="00F81190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BFBFBF" w:themeFill="background1" w:themeFillShade="BF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DIC, primary hypertension, type 2 diabetes.</w:t>
            </w:r>
          </w:p>
        </w:tc>
      </w:tr>
      <w:tr w:rsidR="00F81190" w:rsidRPr="00F81190" w:rsidTr="00484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66" w:type="dxa"/>
            <w:gridSpan w:val="2"/>
            <w:shd w:val="clear" w:color="auto" w:fill="FFFFFF" w:themeFill="background1"/>
          </w:tcPr>
          <w:p w:rsidR="00F81190" w:rsidRPr="00F81190" w:rsidRDefault="00F81190" w:rsidP="00F81190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F81190" w:rsidRPr="00F81190" w:rsidRDefault="00F81190" w:rsidP="00F8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</w:tcPr>
          <w:p w:rsidR="00F81190" w:rsidRPr="00F81190" w:rsidRDefault="00F81190" w:rsidP="00F811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1190">
              <w:rPr>
                <w:rFonts w:ascii="Times New Roman" w:hAnsi="Times New Roman" w:cs="Times New Roman"/>
              </w:rPr>
              <w:t>Severe ARDS, DIC, septic shock, acute cardiac injury, prostate cancer.</w:t>
            </w:r>
          </w:p>
        </w:tc>
      </w:tr>
    </w:tbl>
    <w:p w:rsidR="00F81190" w:rsidRPr="00F81190" w:rsidRDefault="00F81190" w:rsidP="00F81190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F81190">
        <w:rPr>
          <w:rFonts w:ascii="Times New Roman" w:eastAsia="宋体" w:hAnsi="Times New Roman" w:cs="Times New Roman"/>
          <w:bCs/>
          <w:sz w:val="20"/>
          <w:szCs w:val="20"/>
        </w:rPr>
        <w:t xml:space="preserve">COVID-19: coronavirus disease 2019, HBV: </w:t>
      </w:r>
      <w:r w:rsidRPr="00F81190">
        <w:rPr>
          <w:rFonts w:ascii="Times New Roman" w:eastAsia="宋体" w:hAnsi="Times New Roman" w:cs="Times New Roman"/>
          <w:sz w:val="20"/>
          <w:szCs w:val="20"/>
        </w:rPr>
        <w:t xml:space="preserve">hepatitis B virus, </w:t>
      </w:r>
      <w:r w:rsidRPr="00F81190">
        <w:rPr>
          <w:rFonts w:ascii="Times New Roman" w:eastAsia="宋体" w:hAnsi="Times New Roman" w:cs="Times New Roman"/>
          <w:bCs/>
          <w:sz w:val="20"/>
          <w:szCs w:val="20"/>
        </w:rPr>
        <w:t xml:space="preserve">ARDS: </w:t>
      </w:r>
      <w:r w:rsidRPr="00F81190">
        <w:rPr>
          <w:rFonts w:ascii="Times New Roman" w:eastAsia="宋体" w:hAnsi="Times New Roman" w:cs="Times New Roman"/>
          <w:sz w:val="20"/>
          <w:szCs w:val="20"/>
          <w:shd w:val="clear" w:color="auto" w:fill="FFFFFF"/>
        </w:rPr>
        <w:t xml:space="preserve">acute respiratory distress syndrome, DIC: </w:t>
      </w:r>
      <w:r w:rsidRPr="00F81190">
        <w:rPr>
          <w:rFonts w:ascii="Times New Roman" w:eastAsia="宋体" w:hAnsi="Times New Roman" w:cs="Times New Roman"/>
          <w:sz w:val="20"/>
          <w:szCs w:val="20"/>
        </w:rPr>
        <w:t>disseminated intravascular coagulation, COPD: chronic obstructive pulmonary disease</w:t>
      </w:r>
      <w:r w:rsidRPr="00F81190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</w:p>
    <w:p w:rsidR="00F81190" w:rsidRPr="00F81190" w:rsidRDefault="00F81190" w:rsidP="00F81190">
      <w:pPr>
        <w:rPr>
          <w:rFonts w:ascii="Times New Roman" w:eastAsia="宋体" w:hAnsi="Times New Roman" w:cs="Times New Roman"/>
          <w:sz w:val="20"/>
          <w:szCs w:val="20"/>
        </w:rPr>
      </w:pPr>
      <w:r w:rsidRPr="00F81190">
        <w:rPr>
          <w:rFonts w:ascii="Times New Roman" w:eastAsia="宋体" w:hAnsi="Times New Roman" w:cs="Times New Roman"/>
          <w:sz w:val="20"/>
          <w:szCs w:val="20"/>
        </w:rPr>
        <w:t>* Non-corticosteroids treatment.</w:t>
      </w:r>
    </w:p>
    <w:p w:rsidR="00F81190" w:rsidRPr="00F81190" w:rsidRDefault="00F81190" w:rsidP="00F81190">
      <w:pPr>
        <w:jc w:val="left"/>
        <w:rPr>
          <w:rFonts w:ascii="Times New Roman" w:eastAsia="宋体" w:hAnsi="Times New Roman" w:cs="Times New Roman"/>
          <w:b/>
          <w:color w:val="FF0000"/>
          <w:sz w:val="20"/>
          <w:szCs w:val="20"/>
        </w:rPr>
      </w:pPr>
    </w:p>
    <w:p w:rsidR="007E415D" w:rsidRDefault="007E415D"/>
    <w:sectPr w:rsidR="007E4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B1" w:rsidRDefault="00DC72B1" w:rsidP="00F81190">
      <w:r>
        <w:separator/>
      </w:r>
    </w:p>
  </w:endnote>
  <w:endnote w:type="continuationSeparator" w:id="0">
    <w:p w:rsidR="00DC72B1" w:rsidRDefault="00DC72B1" w:rsidP="00F8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TNEJMScalaSansLF-Bold">
    <w:altName w:val="Times New Roman"/>
    <w:charset w:val="00"/>
    <w:family w:val="roman"/>
    <w:pitch w:val="default"/>
  </w:font>
  <w:font w:name="Klavika-MediumCondensedItalic">
    <w:altName w:val="Times New Roman"/>
    <w:charset w:val="00"/>
    <w:family w:val="roman"/>
    <w:pitch w:val="default"/>
  </w:font>
  <w:font w:name="Klavika-Condensed">
    <w:altName w:val="Times New Roman"/>
    <w:charset w:val="00"/>
    <w:family w:val="roman"/>
    <w:pitch w:val="default"/>
  </w:font>
  <w:font w:name="MyriadPro-It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B1" w:rsidRDefault="00DC72B1" w:rsidP="00F81190">
      <w:r>
        <w:separator/>
      </w:r>
    </w:p>
  </w:footnote>
  <w:footnote w:type="continuationSeparator" w:id="0">
    <w:p w:rsidR="00DC72B1" w:rsidRDefault="00DC72B1" w:rsidP="00F8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87"/>
    <w:rsid w:val="00000385"/>
    <w:rsid w:val="000009DD"/>
    <w:rsid w:val="00005E02"/>
    <w:rsid w:val="000071CE"/>
    <w:rsid w:val="00012DAD"/>
    <w:rsid w:val="00022B2F"/>
    <w:rsid w:val="00027D3A"/>
    <w:rsid w:val="00036C74"/>
    <w:rsid w:val="00040699"/>
    <w:rsid w:val="00067D5C"/>
    <w:rsid w:val="00071517"/>
    <w:rsid w:val="000726C5"/>
    <w:rsid w:val="00076BDB"/>
    <w:rsid w:val="00082CB7"/>
    <w:rsid w:val="00086AF8"/>
    <w:rsid w:val="00086D74"/>
    <w:rsid w:val="000A3308"/>
    <w:rsid w:val="000A4DCF"/>
    <w:rsid w:val="000B2FC3"/>
    <w:rsid w:val="000D15A8"/>
    <w:rsid w:val="000D5E49"/>
    <w:rsid w:val="000D5EEC"/>
    <w:rsid w:val="000F2295"/>
    <w:rsid w:val="000F23F5"/>
    <w:rsid w:val="000F3502"/>
    <w:rsid w:val="000F589B"/>
    <w:rsid w:val="000F76B1"/>
    <w:rsid w:val="00101363"/>
    <w:rsid w:val="00101F5D"/>
    <w:rsid w:val="00110F30"/>
    <w:rsid w:val="001354F3"/>
    <w:rsid w:val="00137156"/>
    <w:rsid w:val="00146E43"/>
    <w:rsid w:val="001530EB"/>
    <w:rsid w:val="001550D7"/>
    <w:rsid w:val="001572FD"/>
    <w:rsid w:val="001604E4"/>
    <w:rsid w:val="0017295F"/>
    <w:rsid w:val="0017700C"/>
    <w:rsid w:val="00180123"/>
    <w:rsid w:val="00182795"/>
    <w:rsid w:val="00191EDB"/>
    <w:rsid w:val="001A5C96"/>
    <w:rsid w:val="001B46CD"/>
    <w:rsid w:val="001B79A9"/>
    <w:rsid w:val="001E0F39"/>
    <w:rsid w:val="001E1A63"/>
    <w:rsid w:val="0020098D"/>
    <w:rsid w:val="00202A73"/>
    <w:rsid w:val="0020728B"/>
    <w:rsid w:val="002105CE"/>
    <w:rsid w:val="002117ED"/>
    <w:rsid w:val="002172BD"/>
    <w:rsid w:val="00226EAA"/>
    <w:rsid w:val="002272EE"/>
    <w:rsid w:val="002303CE"/>
    <w:rsid w:val="00234BE3"/>
    <w:rsid w:val="00236188"/>
    <w:rsid w:val="00237CF4"/>
    <w:rsid w:val="00241A6B"/>
    <w:rsid w:val="00252A5A"/>
    <w:rsid w:val="0026413A"/>
    <w:rsid w:val="00266FA9"/>
    <w:rsid w:val="002710D8"/>
    <w:rsid w:val="00275658"/>
    <w:rsid w:val="00281769"/>
    <w:rsid w:val="00282D4F"/>
    <w:rsid w:val="00295ECE"/>
    <w:rsid w:val="002A60BF"/>
    <w:rsid w:val="002C4302"/>
    <w:rsid w:val="002D4CB9"/>
    <w:rsid w:val="002D54C0"/>
    <w:rsid w:val="002E133B"/>
    <w:rsid w:val="002E2599"/>
    <w:rsid w:val="002E3C49"/>
    <w:rsid w:val="002F0B48"/>
    <w:rsid w:val="003066AB"/>
    <w:rsid w:val="00312BF0"/>
    <w:rsid w:val="00315D0B"/>
    <w:rsid w:val="00323A4E"/>
    <w:rsid w:val="00325FC0"/>
    <w:rsid w:val="003368DB"/>
    <w:rsid w:val="00350F74"/>
    <w:rsid w:val="00362C52"/>
    <w:rsid w:val="00367BF5"/>
    <w:rsid w:val="00387200"/>
    <w:rsid w:val="0039418F"/>
    <w:rsid w:val="003A2AB6"/>
    <w:rsid w:val="003A40E8"/>
    <w:rsid w:val="003B10A3"/>
    <w:rsid w:val="003C2FA9"/>
    <w:rsid w:val="003D4359"/>
    <w:rsid w:val="003D5200"/>
    <w:rsid w:val="003F5ED6"/>
    <w:rsid w:val="003F74F2"/>
    <w:rsid w:val="00402588"/>
    <w:rsid w:val="004033B1"/>
    <w:rsid w:val="0041389C"/>
    <w:rsid w:val="00413D5D"/>
    <w:rsid w:val="00422C25"/>
    <w:rsid w:val="00424252"/>
    <w:rsid w:val="00437B55"/>
    <w:rsid w:val="00440B3A"/>
    <w:rsid w:val="00445EC2"/>
    <w:rsid w:val="00447A0D"/>
    <w:rsid w:val="00456C2B"/>
    <w:rsid w:val="004719A0"/>
    <w:rsid w:val="00473F56"/>
    <w:rsid w:val="004959D5"/>
    <w:rsid w:val="004A1BC5"/>
    <w:rsid w:val="004A1DC0"/>
    <w:rsid w:val="004A59D3"/>
    <w:rsid w:val="004B014F"/>
    <w:rsid w:val="004B1549"/>
    <w:rsid w:val="004B34CC"/>
    <w:rsid w:val="004B37BB"/>
    <w:rsid w:val="004B4228"/>
    <w:rsid w:val="004B449B"/>
    <w:rsid w:val="004B5D11"/>
    <w:rsid w:val="004B7618"/>
    <w:rsid w:val="004C3E24"/>
    <w:rsid w:val="004E1ECC"/>
    <w:rsid w:val="004E5B96"/>
    <w:rsid w:val="004F3C2E"/>
    <w:rsid w:val="004F7773"/>
    <w:rsid w:val="005127CA"/>
    <w:rsid w:val="005128EC"/>
    <w:rsid w:val="00514000"/>
    <w:rsid w:val="0052241D"/>
    <w:rsid w:val="00523EAE"/>
    <w:rsid w:val="00530339"/>
    <w:rsid w:val="00530727"/>
    <w:rsid w:val="00533A5E"/>
    <w:rsid w:val="005424E3"/>
    <w:rsid w:val="00555AC0"/>
    <w:rsid w:val="00560199"/>
    <w:rsid w:val="0056277D"/>
    <w:rsid w:val="00564747"/>
    <w:rsid w:val="00566A8F"/>
    <w:rsid w:val="00567D05"/>
    <w:rsid w:val="00572C1E"/>
    <w:rsid w:val="0057624D"/>
    <w:rsid w:val="0058665F"/>
    <w:rsid w:val="0059051F"/>
    <w:rsid w:val="00590FD4"/>
    <w:rsid w:val="005B707D"/>
    <w:rsid w:val="005C1CC8"/>
    <w:rsid w:val="005D178D"/>
    <w:rsid w:val="005D41FB"/>
    <w:rsid w:val="005E5911"/>
    <w:rsid w:val="005F0F3F"/>
    <w:rsid w:val="005F4829"/>
    <w:rsid w:val="005F6741"/>
    <w:rsid w:val="00600A51"/>
    <w:rsid w:val="00606246"/>
    <w:rsid w:val="0061444E"/>
    <w:rsid w:val="006165A6"/>
    <w:rsid w:val="0062487E"/>
    <w:rsid w:val="006265B7"/>
    <w:rsid w:val="00630321"/>
    <w:rsid w:val="0063151C"/>
    <w:rsid w:val="00632D69"/>
    <w:rsid w:val="00633A86"/>
    <w:rsid w:val="00634FA9"/>
    <w:rsid w:val="006448F2"/>
    <w:rsid w:val="00665262"/>
    <w:rsid w:val="00667100"/>
    <w:rsid w:val="006741CE"/>
    <w:rsid w:val="00682935"/>
    <w:rsid w:val="00683252"/>
    <w:rsid w:val="0068662A"/>
    <w:rsid w:val="00692FE2"/>
    <w:rsid w:val="00693CA8"/>
    <w:rsid w:val="00693E94"/>
    <w:rsid w:val="006A4D8D"/>
    <w:rsid w:val="006B402F"/>
    <w:rsid w:val="006C030A"/>
    <w:rsid w:val="006D0712"/>
    <w:rsid w:val="006D105C"/>
    <w:rsid w:val="006D7374"/>
    <w:rsid w:val="006F27F9"/>
    <w:rsid w:val="006F4109"/>
    <w:rsid w:val="006F667F"/>
    <w:rsid w:val="006F7941"/>
    <w:rsid w:val="0071734A"/>
    <w:rsid w:val="007204FE"/>
    <w:rsid w:val="0072656F"/>
    <w:rsid w:val="007349EB"/>
    <w:rsid w:val="007407A4"/>
    <w:rsid w:val="0074368E"/>
    <w:rsid w:val="007450DF"/>
    <w:rsid w:val="00746076"/>
    <w:rsid w:val="0074632F"/>
    <w:rsid w:val="00747077"/>
    <w:rsid w:val="00750ED1"/>
    <w:rsid w:val="00751BF2"/>
    <w:rsid w:val="00751D73"/>
    <w:rsid w:val="007556AB"/>
    <w:rsid w:val="0075675A"/>
    <w:rsid w:val="00757404"/>
    <w:rsid w:val="00770B8B"/>
    <w:rsid w:val="00777FF0"/>
    <w:rsid w:val="007826F9"/>
    <w:rsid w:val="007878D2"/>
    <w:rsid w:val="00793B38"/>
    <w:rsid w:val="007A12DD"/>
    <w:rsid w:val="007B101A"/>
    <w:rsid w:val="007B589D"/>
    <w:rsid w:val="007C19C6"/>
    <w:rsid w:val="007C5CE1"/>
    <w:rsid w:val="007C6D14"/>
    <w:rsid w:val="007D6BE4"/>
    <w:rsid w:val="007D7265"/>
    <w:rsid w:val="007E415D"/>
    <w:rsid w:val="007F10FB"/>
    <w:rsid w:val="00801AE5"/>
    <w:rsid w:val="00804E24"/>
    <w:rsid w:val="008145B3"/>
    <w:rsid w:val="00826823"/>
    <w:rsid w:val="00830FF9"/>
    <w:rsid w:val="00833CEF"/>
    <w:rsid w:val="00834F23"/>
    <w:rsid w:val="00837014"/>
    <w:rsid w:val="008404B8"/>
    <w:rsid w:val="00840EB5"/>
    <w:rsid w:val="00842F96"/>
    <w:rsid w:val="00856036"/>
    <w:rsid w:val="00857ED6"/>
    <w:rsid w:val="00862854"/>
    <w:rsid w:val="00865E34"/>
    <w:rsid w:val="00867200"/>
    <w:rsid w:val="00877776"/>
    <w:rsid w:val="00881848"/>
    <w:rsid w:val="00886036"/>
    <w:rsid w:val="008870B5"/>
    <w:rsid w:val="0089186F"/>
    <w:rsid w:val="008A71AD"/>
    <w:rsid w:val="008C0591"/>
    <w:rsid w:val="008C0B66"/>
    <w:rsid w:val="008C6322"/>
    <w:rsid w:val="008D1553"/>
    <w:rsid w:val="008D28D7"/>
    <w:rsid w:val="008D3195"/>
    <w:rsid w:val="008D5033"/>
    <w:rsid w:val="008D744A"/>
    <w:rsid w:val="008E5668"/>
    <w:rsid w:val="008F0F28"/>
    <w:rsid w:val="008F0FA6"/>
    <w:rsid w:val="00903E44"/>
    <w:rsid w:val="00912116"/>
    <w:rsid w:val="00913764"/>
    <w:rsid w:val="0091513F"/>
    <w:rsid w:val="00915780"/>
    <w:rsid w:val="00917034"/>
    <w:rsid w:val="009268BA"/>
    <w:rsid w:val="00940F10"/>
    <w:rsid w:val="0094129C"/>
    <w:rsid w:val="009424C6"/>
    <w:rsid w:val="00945B6D"/>
    <w:rsid w:val="00954783"/>
    <w:rsid w:val="00965221"/>
    <w:rsid w:val="009664AD"/>
    <w:rsid w:val="00974C58"/>
    <w:rsid w:val="0098513E"/>
    <w:rsid w:val="00987AE7"/>
    <w:rsid w:val="00996059"/>
    <w:rsid w:val="00996736"/>
    <w:rsid w:val="009A0CFC"/>
    <w:rsid w:val="009A25A0"/>
    <w:rsid w:val="009B12EC"/>
    <w:rsid w:val="009B13AB"/>
    <w:rsid w:val="009B1B87"/>
    <w:rsid w:val="009B2D3D"/>
    <w:rsid w:val="009B4629"/>
    <w:rsid w:val="009B58CC"/>
    <w:rsid w:val="009B7716"/>
    <w:rsid w:val="009C412B"/>
    <w:rsid w:val="009E112A"/>
    <w:rsid w:val="009E2AFD"/>
    <w:rsid w:val="009E6580"/>
    <w:rsid w:val="00A11C3A"/>
    <w:rsid w:val="00A309C5"/>
    <w:rsid w:val="00A41915"/>
    <w:rsid w:val="00A43DC7"/>
    <w:rsid w:val="00A44D48"/>
    <w:rsid w:val="00A4701B"/>
    <w:rsid w:val="00A520C1"/>
    <w:rsid w:val="00A570DF"/>
    <w:rsid w:val="00A82C3B"/>
    <w:rsid w:val="00A871AE"/>
    <w:rsid w:val="00AB242B"/>
    <w:rsid w:val="00AB5E13"/>
    <w:rsid w:val="00AC07E1"/>
    <w:rsid w:val="00AC0C04"/>
    <w:rsid w:val="00AC57EA"/>
    <w:rsid w:val="00AD225D"/>
    <w:rsid w:val="00AD5AF8"/>
    <w:rsid w:val="00AD6C6F"/>
    <w:rsid w:val="00AE09F5"/>
    <w:rsid w:val="00AE7EAF"/>
    <w:rsid w:val="00AF4BB5"/>
    <w:rsid w:val="00AF6EDB"/>
    <w:rsid w:val="00AF744A"/>
    <w:rsid w:val="00B13C3D"/>
    <w:rsid w:val="00B14C9F"/>
    <w:rsid w:val="00B17CEA"/>
    <w:rsid w:val="00B26F60"/>
    <w:rsid w:val="00B43D1C"/>
    <w:rsid w:val="00B45F21"/>
    <w:rsid w:val="00B607E7"/>
    <w:rsid w:val="00B646EF"/>
    <w:rsid w:val="00B80315"/>
    <w:rsid w:val="00B8109C"/>
    <w:rsid w:val="00B81B00"/>
    <w:rsid w:val="00B93CC6"/>
    <w:rsid w:val="00B940F5"/>
    <w:rsid w:val="00B95D1C"/>
    <w:rsid w:val="00BA7DDC"/>
    <w:rsid w:val="00BB7229"/>
    <w:rsid w:val="00BC1AE8"/>
    <w:rsid w:val="00BD1FD1"/>
    <w:rsid w:val="00BE15AE"/>
    <w:rsid w:val="00BF076E"/>
    <w:rsid w:val="00BF7856"/>
    <w:rsid w:val="00C001DE"/>
    <w:rsid w:val="00C119EC"/>
    <w:rsid w:val="00C3141B"/>
    <w:rsid w:val="00C4747C"/>
    <w:rsid w:val="00C5314A"/>
    <w:rsid w:val="00C6002F"/>
    <w:rsid w:val="00C614DB"/>
    <w:rsid w:val="00C61507"/>
    <w:rsid w:val="00C6732D"/>
    <w:rsid w:val="00C70236"/>
    <w:rsid w:val="00C828C4"/>
    <w:rsid w:val="00C85E72"/>
    <w:rsid w:val="00C904C0"/>
    <w:rsid w:val="00C9570A"/>
    <w:rsid w:val="00CB02F4"/>
    <w:rsid w:val="00CB2AAA"/>
    <w:rsid w:val="00CB32C6"/>
    <w:rsid w:val="00CB4CA8"/>
    <w:rsid w:val="00CB53B3"/>
    <w:rsid w:val="00CC0D3E"/>
    <w:rsid w:val="00CC110D"/>
    <w:rsid w:val="00CC1D54"/>
    <w:rsid w:val="00CC6919"/>
    <w:rsid w:val="00CD1436"/>
    <w:rsid w:val="00CD2E1B"/>
    <w:rsid w:val="00CD3D31"/>
    <w:rsid w:val="00CD3DF9"/>
    <w:rsid w:val="00CD58F4"/>
    <w:rsid w:val="00CD6782"/>
    <w:rsid w:val="00CE469E"/>
    <w:rsid w:val="00CE5F57"/>
    <w:rsid w:val="00CE62D1"/>
    <w:rsid w:val="00CE780E"/>
    <w:rsid w:val="00CF4BFD"/>
    <w:rsid w:val="00CF583E"/>
    <w:rsid w:val="00CF5B69"/>
    <w:rsid w:val="00CF6707"/>
    <w:rsid w:val="00D02F06"/>
    <w:rsid w:val="00D032AD"/>
    <w:rsid w:val="00D17E6C"/>
    <w:rsid w:val="00D20B86"/>
    <w:rsid w:val="00D324F7"/>
    <w:rsid w:val="00D47432"/>
    <w:rsid w:val="00D57FA0"/>
    <w:rsid w:val="00D61839"/>
    <w:rsid w:val="00D641BF"/>
    <w:rsid w:val="00D67F84"/>
    <w:rsid w:val="00D7083C"/>
    <w:rsid w:val="00D7103D"/>
    <w:rsid w:val="00D85BD6"/>
    <w:rsid w:val="00D97807"/>
    <w:rsid w:val="00D97F22"/>
    <w:rsid w:val="00DA3AC3"/>
    <w:rsid w:val="00DA6DC6"/>
    <w:rsid w:val="00DC2FC2"/>
    <w:rsid w:val="00DC58D2"/>
    <w:rsid w:val="00DC72B1"/>
    <w:rsid w:val="00DC7958"/>
    <w:rsid w:val="00DE5DE4"/>
    <w:rsid w:val="00DE6A70"/>
    <w:rsid w:val="00DF36EC"/>
    <w:rsid w:val="00DF3F72"/>
    <w:rsid w:val="00E05745"/>
    <w:rsid w:val="00E30CAD"/>
    <w:rsid w:val="00E34A9A"/>
    <w:rsid w:val="00E37C23"/>
    <w:rsid w:val="00E41C29"/>
    <w:rsid w:val="00E45650"/>
    <w:rsid w:val="00E45B3D"/>
    <w:rsid w:val="00E51495"/>
    <w:rsid w:val="00E52094"/>
    <w:rsid w:val="00E6006A"/>
    <w:rsid w:val="00E63C5D"/>
    <w:rsid w:val="00E7280F"/>
    <w:rsid w:val="00E811D4"/>
    <w:rsid w:val="00E95551"/>
    <w:rsid w:val="00E95771"/>
    <w:rsid w:val="00EB1F6F"/>
    <w:rsid w:val="00EC3704"/>
    <w:rsid w:val="00ED003E"/>
    <w:rsid w:val="00ED2E02"/>
    <w:rsid w:val="00ED719D"/>
    <w:rsid w:val="00ED7D14"/>
    <w:rsid w:val="00EE024B"/>
    <w:rsid w:val="00EE3743"/>
    <w:rsid w:val="00EE4C3A"/>
    <w:rsid w:val="00EF0CDE"/>
    <w:rsid w:val="00EF3FA9"/>
    <w:rsid w:val="00F00672"/>
    <w:rsid w:val="00F06B47"/>
    <w:rsid w:val="00F07246"/>
    <w:rsid w:val="00F161F4"/>
    <w:rsid w:val="00F30095"/>
    <w:rsid w:val="00F348B5"/>
    <w:rsid w:val="00F419D3"/>
    <w:rsid w:val="00F43FF0"/>
    <w:rsid w:val="00F440F2"/>
    <w:rsid w:val="00F44581"/>
    <w:rsid w:val="00F44E5E"/>
    <w:rsid w:val="00F5160D"/>
    <w:rsid w:val="00F5402E"/>
    <w:rsid w:val="00F55821"/>
    <w:rsid w:val="00F7050B"/>
    <w:rsid w:val="00F7073E"/>
    <w:rsid w:val="00F7086D"/>
    <w:rsid w:val="00F74988"/>
    <w:rsid w:val="00F81190"/>
    <w:rsid w:val="00F95FCC"/>
    <w:rsid w:val="00F967EE"/>
    <w:rsid w:val="00FB797D"/>
    <w:rsid w:val="00FD68D6"/>
    <w:rsid w:val="00FE644D"/>
    <w:rsid w:val="00FE655D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DEBCA-E609-471F-BB46-A3117EB5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8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81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8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8119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F81190"/>
  </w:style>
  <w:style w:type="paragraph" w:styleId="a7">
    <w:name w:val="Balloon Text"/>
    <w:basedOn w:val="a"/>
    <w:link w:val="a8"/>
    <w:uiPriority w:val="99"/>
    <w:semiHidden/>
    <w:unhideWhenUsed/>
    <w:qFormat/>
    <w:rsid w:val="00F811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F81190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F81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F811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中等深浅列表 11"/>
    <w:basedOn w:val="a1"/>
    <w:next w:val="10"/>
    <w:uiPriority w:val="65"/>
    <w:qFormat/>
    <w:rsid w:val="00F81190"/>
    <w:rPr>
      <w:rFonts w:ascii="Times New Roman" w:eastAsia="宋体" w:hAnsi="Times New Roman" w:cs="Times New Roman"/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b">
    <w:name w:val="Strong"/>
    <w:basedOn w:val="a0"/>
    <w:uiPriority w:val="22"/>
    <w:qFormat/>
    <w:rsid w:val="00F81190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F81190"/>
    <w:rPr>
      <w:color w:val="2ECC71"/>
      <w:u w:val="none"/>
    </w:rPr>
  </w:style>
  <w:style w:type="character" w:styleId="ad">
    <w:name w:val="Hyperlink"/>
    <w:basedOn w:val="a0"/>
    <w:uiPriority w:val="99"/>
    <w:semiHidden/>
    <w:unhideWhenUsed/>
    <w:rsid w:val="00F81190"/>
    <w:rPr>
      <w:color w:val="2ECC71"/>
      <w:u w:val="none"/>
    </w:rPr>
  </w:style>
  <w:style w:type="character" w:customStyle="1" w:styleId="fontstyle01">
    <w:name w:val="fontstyle01"/>
    <w:basedOn w:val="a0"/>
    <w:qFormat/>
    <w:rsid w:val="00F81190"/>
    <w:rPr>
      <w:rFonts w:ascii="OTNEJMScalaSansLF-Bold" w:hAnsi="OTNEJMScalaSansLF-Bold" w:hint="default"/>
      <w:b/>
      <w:bCs/>
      <w:color w:val="D1232A"/>
      <w:sz w:val="16"/>
      <w:szCs w:val="16"/>
    </w:rPr>
  </w:style>
  <w:style w:type="table" w:customStyle="1" w:styleId="12">
    <w:name w:val="浅色底纹1"/>
    <w:basedOn w:val="a1"/>
    <w:uiPriority w:val="60"/>
    <w:qFormat/>
    <w:rsid w:val="00F81190"/>
    <w:rPr>
      <w:rFonts w:ascii="Calibri" w:eastAsia="宋体" w:hAnsi="Calibri" w:cs="Calibri"/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21">
    <w:name w:val="fontstyle21"/>
    <w:basedOn w:val="a0"/>
    <w:qFormat/>
    <w:rsid w:val="00F81190"/>
    <w:rPr>
      <w:rFonts w:ascii="Klavika-MediumCondensedItalic" w:hAnsi="Klavika-MediumCondensedItalic" w:hint="default"/>
      <w:i/>
      <w:iCs/>
      <w:color w:val="242021"/>
      <w:sz w:val="18"/>
      <w:szCs w:val="18"/>
    </w:rPr>
  </w:style>
  <w:style w:type="character" w:customStyle="1" w:styleId="fontstyle31">
    <w:name w:val="fontstyle31"/>
    <w:basedOn w:val="a0"/>
    <w:qFormat/>
    <w:rsid w:val="00F81190"/>
    <w:rPr>
      <w:rFonts w:ascii="Klavika-Condensed" w:hAnsi="Klavika-Condensed" w:hint="default"/>
      <w:color w:val="242021"/>
      <w:sz w:val="18"/>
      <w:szCs w:val="18"/>
    </w:rPr>
  </w:style>
  <w:style w:type="character" w:customStyle="1" w:styleId="word1">
    <w:name w:val="word1"/>
    <w:basedOn w:val="a0"/>
    <w:qFormat/>
    <w:rsid w:val="00F81190"/>
    <w:rPr>
      <w:color w:val="000201"/>
      <w:sz w:val="30"/>
      <w:szCs w:val="30"/>
    </w:rPr>
  </w:style>
  <w:style w:type="character" w:customStyle="1" w:styleId="fontstyle11">
    <w:name w:val="fontstyle11"/>
    <w:basedOn w:val="a0"/>
    <w:qFormat/>
    <w:rsid w:val="00F81190"/>
    <w:rPr>
      <w:rFonts w:ascii="MyriadPro-It" w:hAnsi="MyriadPro-It" w:hint="default"/>
      <w:i/>
      <w:iCs/>
      <w:color w:val="000000"/>
      <w:sz w:val="14"/>
      <w:szCs w:val="14"/>
    </w:rPr>
  </w:style>
  <w:style w:type="table" w:customStyle="1" w:styleId="110">
    <w:name w:val="浅色底纹11"/>
    <w:basedOn w:val="a1"/>
    <w:uiPriority w:val="60"/>
    <w:qFormat/>
    <w:rsid w:val="00F81190"/>
    <w:rPr>
      <w:rFonts w:ascii="Calibri" w:eastAsia="宋体" w:hAnsi="Calibri" w:cs="Calibri"/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reen1">
    <w:name w:val="green1"/>
    <w:basedOn w:val="a0"/>
    <w:rsid w:val="00F81190"/>
    <w:rPr>
      <w:color w:val="2ECC71"/>
    </w:rPr>
  </w:style>
  <w:style w:type="character" w:styleId="ae">
    <w:name w:val="annotation reference"/>
    <w:basedOn w:val="a0"/>
    <w:uiPriority w:val="99"/>
    <w:semiHidden/>
    <w:unhideWhenUsed/>
    <w:rsid w:val="00F8119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F81190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F811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19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F81190"/>
    <w:rPr>
      <w:b/>
      <w:bCs/>
    </w:rPr>
  </w:style>
  <w:style w:type="table" w:customStyle="1" w:styleId="120">
    <w:name w:val="浅色底纹12"/>
    <w:basedOn w:val="a1"/>
    <w:uiPriority w:val="60"/>
    <w:qFormat/>
    <w:rsid w:val="00F81190"/>
    <w:rPr>
      <w:rFonts w:ascii="Calibri" w:eastAsia="宋体" w:hAnsi="Calibri" w:cs="Calibri"/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Medium List 1"/>
    <w:basedOn w:val="a1"/>
    <w:uiPriority w:val="65"/>
    <w:rsid w:val="00F811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dcterms:created xsi:type="dcterms:W3CDTF">2021-08-27T06:29:00Z</dcterms:created>
  <dcterms:modified xsi:type="dcterms:W3CDTF">2021-10-24T07:15:00Z</dcterms:modified>
</cp:coreProperties>
</file>