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A0" w:rsidRPr="0095162E" w:rsidRDefault="001F7CF8">
      <w:pPr>
        <w:spacing w:line="360" w:lineRule="auto"/>
        <w:jc w:val="left"/>
        <w:rPr>
          <w:rFonts w:ascii="Times New Roman" w:hAnsi="Times New Roman" w:cs="Times New Roman"/>
          <w:b/>
          <w:i/>
          <w:iCs/>
          <w:color w:val="000000" w:themeColor="text1"/>
          <w:sz w:val="24"/>
        </w:rPr>
      </w:pPr>
      <w:r w:rsidRPr="0095162E">
        <w:rPr>
          <w:rFonts w:ascii="Times New Roman" w:hAnsi="Times New Roman"/>
          <w:b/>
          <w:i/>
          <w:color w:val="000000" w:themeColor="text1"/>
          <w:sz w:val="24"/>
        </w:rPr>
        <w:t>Supplemental methods</w:t>
      </w:r>
    </w:p>
    <w:p w:rsidR="00465DA0" w:rsidRPr="0095162E" w:rsidRDefault="001F7CF8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proofErr w:type="gramStart"/>
      <w:r w:rsidRPr="0095162E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qRT</w:t>
      </w:r>
      <w:proofErr w:type="spellEnd"/>
      <w:r w:rsidRPr="0095162E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–PCR</w:t>
      </w:r>
      <w:proofErr w:type="gramEnd"/>
      <w:r w:rsidRPr="0095162E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 xml:space="preserve"> assays</w:t>
      </w:r>
      <w:r w:rsidRPr="0095162E">
        <w:rPr>
          <w:rFonts w:ascii="Times New Roman" w:hAnsi="Times New Roman" w:cs="Times New Roman" w:hint="eastAsia"/>
          <w:b/>
          <w:i/>
          <w:iCs/>
          <w:color w:val="000000" w:themeColor="text1"/>
          <w:sz w:val="24"/>
        </w:rPr>
        <w:t xml:space="preserve"> and </w:t>
      </w:r>
      <w:r w:rsidRPr="0095162E">
        <w:rPr>
          <w:rFonts w:ascii="Times New Roman" w:hAnsi="Times New Roman" w:cs="Times New Roman"/>
          <w:b/>
          <w:i/>
          <w:iCs/>
          <w:color w:val="000000" w:themeColor="text1"/>
          <w:sz w:val="24"/>
        </w:rPr>
        <w:t>Western blot assays</w:t>
      </w:r>
      <w:r w:rsidRPr="0095162E">
        <w:rPr>
          <w:rFonts w:ascii="Times New Roman" w:hAnsi="Times New Roman" w:cs="Times New Roman" w:hint="eastAsia"/>
          <w:b/>
          <w:color w:val="000000" w:themeColor="text1"/>
          <w:sz w:val="24"/>
        </w:rPr>
        <w:t xml:space="preserve"> </w:t>
      </w:r>
    </w:p>
    <w:p w:rsidR="00465DA0" w:rsidRPr="0095162E" w:rsidRDefault="001F7CF8">
      <w:pPr>
        <w:spacing w:line="360" w:lineRule="auto"/>
        <w:ind w:firstLineChars="100" w:firstLine="240"/>
        <w:jc w:val="left"/>
        <w:rPr>
          <w:rFonts w:ascii="Times New Roman" w:hAnsi="Times New Roman"/>
          <w:color w:val="000000" w:themeColor="text1"/>
          <w:sz w:val="24"/>
        </w:rPr>
      </w:pPr>
      <w:r w:rsidRPr="0095162E">
        <w:rPr>
          <w:rFonts w:ascii="Times New Roman" w:hAnsi="Times New Roman" w:hint="eastAsia"/>
          <w:color w:val="000000" w:themeColor="text1"/>
          <w:sz w:val="24"/>
        </w:rPr>
        <w:t xml:space="preserve">Total RNA of A549 and H522 were extracted with </w:t>
      </w:r>
      <w:proofErr w:type="spellStart"/>
      <w:r w:rsidRPr="0095162E">
        <w:rPr>
          <w:rFonts w:ascii="Times New Roman" w:hAnsi="Times New Roman" w:hint="eastAsia"/>
          <w:color w:val="000000" w:themeColor="text1"/>
          <w:sz w:val="24"/>
        </w:rPr>
        <w:t>TRIzol</w:t>
      </w:r>
      <w:proofErr w:type="spellEnd"/>
      <w:r w:rsidRPr="0095162E">
        <w:rPr>
          <w:rFonts w:ascii="Times New Roman" w:hAnsi="Times New Roman" w:hint="eastAsia"/>
          <w:color w:val="000000" w:themeColor="text1"/>
          <w:sz w:val="24"/>
        </w:rPr>
        <w:t xml:space="preserve"> reagent (Invitrogen</w:t>
      </w:r>
      <w:proofErr w:type="gramStart"/>
      <w:r w:rsidRPr="0095162E">
        <w:rPr>
          <w:rFonts w:ascii="Times New Roman" w:hAnsi="Times New Roman" w:hint="eastAsia"/>
          <w:color w:val="000000" w:themeColor="text1"/>
          <w:sz w:val="24"/>
        </w:rPr>
        <w:t>) .</w:t>
      </w:r>
      <w:proofErr w:type="gramEnd"/>
      <w:r w:rsidRPr="0095162E">
        <w:rPr>
          <w:rFonts w:ascii="Times New Roman" w:hAnsi="Times New Roman" w:hint="eastAsia"/>
          <w:color w:val="000000" w:themeColor="text1"/>
          <w:sz w:val="24"/>
        </w:rPr>
        <w:t xml:space="preserve"> </w:t>
      </w:r>
      <w:proofErr w:type="gramStart"/>
      <w:r w:rsidRPr="0095162E">
        <w:rPr>
          <w:rFonts w:ascii="Times New Roman" w:hAnsi="Times New Roman" w:hint="eastAsia"/>
          <w:color w:val="000000" w:themeColor="text1"/>
          <w:sz w:val="24"/>
        </w:rPr>
        <w:t>cDNA</w:t>
      </w:r>
      <w:proofErr w:type="gramEnd"/>
      <w:r w:rsidRPr="0095162E">
        <w:rPr>
          <w:rFonts w:ascii="Times New Roman" w:hAnsi="Times New Roman" w:hint="eastAsia"/>
          <w:color w:val="000000" w:themeColor="text1"/>
          <w:sz w:val="24"/>
        </w:rPr>
        <w:t xml:space="preserve"> were then synthesized from total RNA using reverse transcription reagent kit (Toyobo). Real time PCR was conducted with SYBR Premix Ex </w:t>
      </w:r>
      <w:proofErr w:type="spellStart"/>
      <w:r w:rsidRPr="0095162E">
        <w:rPr>
          <w:rFonts w:ascii="Times New Roman" w:hAnsi="Times New Roman" w:hint="eastAsia"/>
          <w:color w:val="000000" w:themeColor="text1"/>
          <w:sz w:val="24"/>
        </w:rPr>
        <w:t>Taq</w:t>
      </w:r>
      <w:proofErr w:type="spellEnd"/>
      <w:r w:rsidRPr="0095162E">
        <w:rPr>
          <w:rFonts w:ascii="Times New Roman" w:hAnsi="Times New Roman" w:hint="eastAsia"/>
          <w:color w:val="000000" w:themeColor="text1"/>
          <w:sz w:val="24"/>
        </w:rPr>
        <w:t xml:space="preserve"> II Kit (Takara) on </w:t>
      </w:r>
      <w:proofErr w:type="gramStart"/>
      <w:r w:rsidRPr="0095162E">
        <w:rPr>
          <w:rFonts w:ascii="Times New Roman" w:hAnsi="Times New Roman" w:hint="eastAsia"/>
          <w:color w:val="000000" w:themeColor="text1"/>
          <w:sz w:val="24"/>
        </w:rPr>
        <w:t>an</w:t>
      </w:r>
      <w:proofErr w:type="gramEnd"/>
      <w:r w:rsidRPr="0095162E">
        <w:rPr>
          <w:rFonts w:ascii="Times New Roman" w:hAnsi="Times New Roman" w:hint="eastAsia"/>
          <w:color w:val="000000" w:themeColor="text1"/>
          <w:sz w:val="24"/>
        </w:rPr>
        <w:t xml:space="preserve"> </w:t>
      </w:r>
      <w:proofErr w:type="spellStart"/>
      <w:r w:rsidRPr="0095162E">
        <w:rPr>
          <w:rFonts w:ascii="Times New Roman" w:hAnsi="Times New Roman" w:hint="eastAsia"/>
          <w:color w:val="000000" w:themeColor="text1"/>
          <w:sz w:val="24"/>
        </w:rPr>
        <w:t>StepOnePlus</w:t>
      </w:r>
      <w:proofErr w:type="spellEnd"/>
      <w:r w:rsidRPr="0095162E">
        <w:rPr>
          <w:rFonts w:ascii="Times New Roman" w:hAnsi="Times New Roman" w:hint="eastAsia"/>
          <w:color w:val="000000" w:themeColor="text1"/>
          <w:sz w:val="24"/>
        </w:rPr>
        <w:t xml:space="preserve"> Real-Time PCR System. The primers were provided by </w:t>
      </w:r>
      <w:proofErr w:type="spellStart"/>
      <w:r w:rsidRPr="0095162E">
        <w:rPr>
          <w:rFonts w:ascii="Times New Roman" w:hAnsi="Times New Roman" w:hint="eastAsia"/>
          <w:color w:val="000000" w:themeColor="text1"/>
          <w:sz w:val="24"/>
        </w:rPr>
        <w:t>Sangon</w:t>
      </w:r>
      <w:proofErr w:type="spellEnd"/>
      <w:r w:rsidRPr="0095162E">
        <w:rPr>
          <w:rFonts w:ascii="Times New Roman" w:hAnsi="Times New Roman" w:hint="eastAsia"/>
          <w:color w:val="000000" w:themeColor="text1"/>
          <w:sz w:val="24"/>
        </w:rPr>
        <w:t>, Shanghai, China. Gene expression changes relative to the stated housekeeping gene GAPDH were calculated using the</w:t>
      </w:r>
      <w:r w:rsidRPr="0095162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5162E">
        <w:rPr>
          <w:rFonts w:ascii="Cambria Math" w:hAnsi="Cambria Math" w:cs="Cambria Math"/>
          <w:color w:val="000000" w:themeColor="text1"/>
          <w:sz w:val="24"/>
        </w:rPr>
        <w:t>△△</w:t>
      </w:r>
      <w:r w:rsidRPr="0095162E">
        <w:rPr>
          <w:rFonts w:ascii="Times New Roman" w:hAnsi="Times New Roman" w:hint="eastAsia"/>
          <w:color w:val="000000" w:themeColor="text1"/>
          <w:sz w:val="24"/>
        </w:rPr>
        <w:t>CT method.</w:t>
      </w:r>
    </w:p>
    <w:p w:rsidR="00465DA0" w:rsidRPr="0095162E" w:rsidRDefault="001F7CF8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bCs/>
          <w:color w:val="000000" w:themeColor="text1"/>
          <w:sz w:val="24"/>
        </w:rPr>
      </w:pP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Western blotting was performed using standard methods. Whole-cell extracts of A549</w:t>
      </w:r>
      <w:r w:rsidRPr="0095162E">
        <w:rPr>
          <w:rFonts w:ascii="Times New Roman" w:hAnsi="Times New Roman" w:hint="eastAsia"/>
          <w:color w:val="000000" w:themeColor="text1"/>
          <w:sz w:val="24"/>
        </w:rPr>
        <w:t xml:space="preserve"> and H522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 were prepared by lysing the cells with NP40 supplemented with Protease inhibitor Cocktail. After separation by SDS-PAGE, proteins were transferred to PVDF membrane, and followed by immunoblotting using indicated antibodies. The primary antibodies for GAPDH, CENP-E and PD-</w:t>
      </w:r>
      <w:proofErr w:type="gramStart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L1(</w:t>
      </w:r>
      <w:proofErr w:type="spellStart"/>
      <w:proofErr w:type="gramEnd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Abcam</w:t>
      </w:r>
      <w:proofErr w:type="spellEnd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) were </w:t>
      </w:r>
      <w:r w:rsidRPr="0095162E">
        <w:rPr>
          <w:rFonts w:ascii="Times New Roman" w:hAnsi="Times New Roman" w:hint="eastAsia"/>
          <w:color w:val="000000" w:themeColor="text1"/>
          <w:sz w:val="24"/>
        </w:rPr>
        <w:t>used according to the manufacturer</w:t>
      </w:r>
      <w:r w:rsidRPr="0095162E">
        <w:rPr>
          <w:rFonts w:ascii="Times New Roman" w:hAnsi="Times New Roman" w:cs="Times New Roman"/>
          <w:color w:val="000000" w:themeColor="text1"/>
          <w:sz w:val="24"/>
        </w:rPr>
        <w:t>’</w:t>
      </w:r>
      <w:r w:rsidRPr="0095162E">
        <w:rPr>
          <w:rFonts w:ascii="Times New Roman" w:hAnsi="Times New Roman" w:hint="eastAsia"/>
          <w:color w:val="000000" w:themeColor="text1"/>
          <w:sz w:val="24"/>
        </w:rPr>
        <w:t>s instructions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. The horseradish peroxidase (HRP)-conjugated secondary antibody was obtained from Santa </w:t>
      </w:r>
      <w:proofErr w:type="spellStart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Crutz</w:t>
      </w:r>
      <w:proofErr w:type="spellEnd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. Proteins were visualized using an ECL system (Bio-Rad</w:t>
      </w:r>
      <w:proofErr w:type="gramStart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) .</w:t>
      </w:r>
      <w:proofErr w:type="gramEnd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 Image </w:t>
      </w:r>
      <w:proofErr w:type="gramStart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acquisition were</w:t>
      </w:r>
      <w:proofErr w:type="gramEnd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 performed using </w:t>
      </w:r>
      <w:proofErr w:type="spellStart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Chemi</w:t>
      </w:r>
      <w:proofErr w:type="spellEnd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 </w:t>
      </w:r>
      <w:proofErr w:type="spellStart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Doclt</w:t>
      </w:r>
      <w:proofErr w:type="spellEnd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 510 imaging system (UVP). </w:t>
      </w:r>
    </w:p>
    <w:p w:rsidR="00465DA0" w:rsidRPr="0095162E" w:rsidRDefault="001F7CF8">
      <w:pPr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95162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  <w:t>Immunohistochemistry</w:t>
      </w:r>
      <w:r w:rsidRPr="0095162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</w:rPr>
        <w:t xml:space="preserve"> and </w:t>
      </w:r>
      <w:r w:rsidRPr="0095162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  <w:t>Immunofluorescence</w:t>
      </w:r>
    </w:p>
    <w:p w:rsidR="00465DA0" w:rsidRPr="0095162E" w:rsidRDefault="001F7CF8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bCs/>
          <w:color w:val="000000" w:themeColor="text1"/>
          <w:sz w:val="24"/>
        </w:rPr>
      </w:pPr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 xml:space="preserve">Lung cancer tissues were collected from Cancer Center, Union Hospital, </w:t>
      </w:r>
      <w:proofErr w:type="spellStart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>Tongji</w:t>
      </w:r>
      <w:proofErr w:type="spellEnd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 xml:space="preserve"> Medical College of </w:t>
      </w:r>
      <w:proofErr w:type="spellStart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>Huazhong</w:t>
      </w:r>
      <w:proofErr w:type="spellEnd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 xml:space="preserve"> University of Science and Technology, and written informed consent was obtained from patients at the time of enrollment. Before staining, the paraformaldehyde fixed paraffin embedded tumor slides were </w:t>
      </w:r>
      <w:proofErr w:type="spellStart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>deparaffinized</w:t>
      </w:r>
      <w:proofErr w:type="spellEnd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 xml:space="preserve">, </w:t>
      </w:r>
      <w:r w:rsidRPr="0095162E">
        <w:rPr>
          <w:rFonts w:ascii="Times New Roman" w:hAnsi="Times New Roman" w:cs="Times New Roman"/>
          <w:color w:val="000000" w:themeColor="text1"/>
          <w:sz w:val="24"/>
        </w:rPr>
        <w:t>rehydrated</w:t>
      </w:r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 xml:space="preserve"> and followed by heat-mediated antigen retrieval. For immunohistochemistry staining, the specimens were incubated with the anti-human CENP-E (Santa </w:t>
      </w:r>
      <w:proofErr w:type="spellStart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>crutz</w:t>
      </w:r>
      <w:proofErr w:type="spellEnd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>) overnight at 4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°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C, followed by biotinylated secondary antibody and HRP/DAB detection. </w:t>
      </w:r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>For immuno</w:t>
      </w:r>
      <w:r w:rsidRPr="0095162E">
        <w:rPr>
          <w:rFonts w:ascii="Times New Roman" w:hAnsi="Times New Roman" w:cs="Times New Roman"/>
          <w:color w:val="000000" w:themeColor="text1"/>
          <w:sz w:val="24"/>
        </w:rPr>
        <w:t>fluorescence</w:t>
      </w:r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 xml:space="preserve"> staining, the samples were stained with anti-human primary antibodies including mouse CENP-E (Santa </w:t>
      </w:r>
      <w:proofErr w:type="spellStart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>crutz</w:t>
      </w:r>
      <w:proofErr w:type="spellEnd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>), rabbit PD-L1 (</w:t>
      </w:r>
      <w:proofErr w:type="spellStart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>Abcam</w:t>
      </w:r>
      <w:proofErr w:type="spellEnd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>) overnight at 4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°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C</w:t>
      </w:r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>. Then the samples were stained with secondary antibodies including FITC-labeled donkey anti-rabbit, Cy3-labeled donkey anti-mouse. 4</w:t>
      </w:r>
      <w:r w:rsidRPr="0095162E">
        <w:rPr>
          <w:rFonts w:ascii="Times New Roman" w:hAnsi="Times New Roman" w:cs="Times New Roman"/>
          <w:color w:val="000000" w:themeColor="text1"/>
          <w:sz w:val="24"/>
        </w:rPr>
        <w:t>’,</w:t>
      </w:r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 xml:space="preserve"> 6-diamidino-2-phenylindole (DAPI) </w:t>
      </w:r>
      <w:r w:rsidRPr="0095162E">
        <w:rPr>
          <w:rFonts w:ascii="Times New Roman" w:hAnsi="Times New Roman" w:cs="Times New Roman"/>
          <w:color w:val="000000" w:themeColor="text1"/>
          <w:sz w:val="24"/>
        </w:rPr>
        <w:t>was used for nuclear staining.</w:t>
      </w:r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 xml:space="preserve"> The images were acquired utilizing a confocal laser-scanning microscope (Carl Zeiss).</w:t>
      </w:r>
    </w:p>
    <w:p w:rsidR="00465DA0" w:rsidRPr="0095162E" w:rsidRDefault="001F7CF8">
      <w:pPr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proofErr w:type="gramStart"/>
      <w:r w:rsidRPr="0095162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</w:rPr>
        <w:lastRenderedPageBreak/>
        <w:t>mRNA</w:t>
      </w:r>
      <w:proofErr w:type="gramEnd"/>
      <w:r w:rsidRPr="0095162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</w:rPr>
        <w:t xml:space="preserve"> stability assays</w:t>
      </w:r>
    </w:p>
    <w:p w:rsidR="00465DA0" w:rsidRPr="0095162E" w:rsidRDefault="001F7CF8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>The cells were seeded in 6 wells plate and cultured overnight. After GSK923295 treatment for 3 days, the cells were treated with ACTD for 0, 1 or 2 hours. Then the total RNA was extracted for the reverse transcription PCR and real time PCR.</w:t>
      </w:r>
    </w:p>
    <w:p w:rsidR="00465DA0" w:rsidRPr="0095162E" w:rsidRDefault="001F7CF8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95162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</w:rPr>
        <w:t>Dual luciferase reporter assays</w:t>
      </w:r>
    </w:p>
    <w:p w:rsidR="00465DA0" w:rsidRPr="0095162E" w:rsidRDefault="001F7CF8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 xml:space="preserve">  A549 was plated in 96 well plates and the following day co-transfected with </w:t>
      </w:r>
      <w:proofErr w:type="spellStart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>renilla</w:t>
      </w:r>
      <w:proofErr w:type="spellEnd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 xml:space="preserve"> luciferase reporter gene plasmid and PD-L1 </w:t>
      </w:r>
      <w:r w:rsidRPr="0095162E">
        <w:rPr>
          <w:rFonts w:ascii="Times New Roman" w:hAnsi="Times New Roman" w:cs="Times New Roman"/>
          <w:color w:val="000000" w:themeColor="text1"/>
          <w:sz w:val="24"/>
        </w:rPr>
        <w:t>3'UTR WT</w:t>
      </w:r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 xml:space="preserve"> or PD-L1 </w:t>
      </w:r>
      <w:r w:rsidRPr="0095162E">
        <w:rPr>
          <w:rFonts w:ascii="Times New Roman" w:hAnsi="Times New Roman" w:cs="Times New Roman"/>
          <w:color w:val="000000" w:themeColor="text1"/>
          <w:sz w:val="24"/>
        </w:rPr>
        <w:t>3'UTR MUT</w:t>
      </w:r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 xml:space="preserve"> luciferase reporter gene plasmid 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(</w:t>
      </w:r>
      <w:proofErr w:type="spellStart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Addgene</w:t>
      </w:r>
      <w:proofErr w:type="spellEnd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) using </w:t>
      </w:r>
      <w:proofErr w:type="spellStart"/>
      <w:r w:rsidRPr="0095162E">
        <w:rPr>
          <w:rFonts w:ascii="Times New Roman" w:hAnsi="Times New Roman" w:hint="eastAsia"/>
          <w:color w:val="000000" w:themeColor="text1"/>
          <w:sz w:val="24"/>
        </w:rPr>
        <w:t>lipofectamine</w:t>
      </w:r>
      <w:proofErr w:type="spellEnd"/>
      <w:r w:rsidRPr="0095162E">
        <w:rPr>
          <w:rFonts w:ascii="Times New Roman" w:hAnsi="Times New Roman" w:hint="eastAsia"/>
          <w:color w:val="000000" w:themeColor="text1"/>
          <w:sz w:val="24"/>
        </w:rPr>
        <w:t xml:space="preserve"> 2000 (Invitrogen, Carlsbad, CA) according to the manufacturer</w:t>
      </w:r>
      <w:r w:rsidRPr="0095162E">
        <w:rPr>
          <w:rFonts w:ascii="Times New Roman" w:hAnsi="Times New Roman"/>
          <w:color w:val="000000" w:themeColor="text1"/>
          <w:sz w:val="24"/>
        </w:rPr>
        <w:t>’</w:t>
      </w:r>
      <w:r w:rsidRPr="0095162E">
        <w:rPr>
          <w:rFonts w:ascii="Times New Roman" w:hAnsi="Times New Roman" w:hint="eastAsia"/>
          <w:color w:val="000000" w:themeColor="text1"/>
          <w:sz w:val="24"/>
        </w:rPr>
        <w:t xml:space="preserve">s instructions. 24 h after transfection, the cells were treated with </w:t>
      </w:r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>GSK923295 for 2 days. After incubation, the cells were collected and subjected to luciferase assays using a Dual-Luciferase Reporter Assay System (</w:t>
      </w:r>
      <w:proofErr w:type="spellStart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>Promega</w:t>
      </w:r>
      <w:proofErr w:type="spellEnd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 xml:space="preserve">), and measured with the Centro LB960 Microplate </w:t>
      </w:r>
      <w:proofErr w:type="spellStart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>Luminometer</w:t>
      </w:r>
      <w:proofErr w:type="spellEnd"/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 xml:space="preserve"> (Berthold Technologies).</w:t>
      </w:r>
      <w:bookmarkStart w:id="0" w:name="_GoBack"/>
      <w:bookmarkEnd w:id="0"/>
    </w:p>
    <w:p w:rsidR="00465DA0" w:rsidRPr="0095162E" w:rsidRDefault="001F7CF8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95162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</w:rPr>
        <w:t>Tansfection</w:t>
      </w:r>
      <w:proofErr w:type="spellEnd"/>
      <w:r w:rsidRPr="0095162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</w:rPr>
        <w:t>, Viral infections</w:t>
      </w:r>
    </w:p>
    <w:p w:rsidR="00465DA0" w:rsidRPr="0095162E" w:rsidRDefault="001F7CF8">
      <w:pPr>
        <w:spacing w:line="360" w:lineRule="auto"/>
        <w:ind w:firstLineChars="100" w:firstLine="240"/>
        <w:jc w:val="left"/>
        <w:rPr>
          <w:rFonts w:ascii="Times New Roman" w:hAnsi="Times New Roman"/>
          <w:color w:val="000000" w:themeColor="text1"/>
          <w:sz w:val="24"/>
        </w:rPr>
      </w:pP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For transfection with TTP constructs, cells were seeded in a 6 well plate overnight. Then cells </w:t>
      </w:r>
      <w:r w:rsidRPr="0095162E">
        <w:rPr>
          <w:rFonts w:ascii="Times New Roman" w:hAnsi="Times New Roman" w:hint="eastAsia"/>
          <w:color w:val="000000" w:themeColor="text1"/>
          <w:sz w:val="24"/>
        </w:rPr>
        <w:t>were transfected with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 pcDNA3 Myc2-Hs TTP (</w:t>
      </w:r>
      <w:proofErr w:type="spellStart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Addgene</w:t>
      </w:r>
      <w:proofErr w:type="spellEnd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) or with the wild-type pcDNA3 plasmid </w:t>
      </w:r>
      <w:r w:rsidRPr="0095162E">
        <w:rPr>
          <w:rFonts w:ascii="Times New Roman" w:hAnsi="Times New Roman" w:hint="eastAsia"/>
          <w:color w:val="000000" w:themeColor="text1"/>
          <w:sz w:val="24"/>
        </w:rPr>
        <w:t xml:space="preserve">using </w:t>
      </w:r>
      <w:proofErr w:type="spellStart"/>
      <w:r w:rsidRPr="0095162E">
        <w:rPr>
          <w:rFonts w:ascii="Times New Roman" w:hAnsi="Times New Roman" w:hint="eastAsia"/>
          <w:color w:val="000000" w:themeColor="text1"/>
          <w:sz w:val="24"/>
        </w:rPr>
        <w:t>lipofectamine</w:t>
      </w:r>
      <w:proofErr w:type="spellEnd"/>
      <w:r w:rsidRPr="0095162E">
        <w:rPr>
          <w:rFonts w:ascii="Times New Roman" w:hAnsi="Times New Roman" w:hint="eastAsia"/>
          <w:color w:val="000000" w:themeColor="text1"/>
          <w:sz w:val="24"/>
        </w:rPr>
        <w:t xml:space="preserve"> 2000 (Invitrogen, Carlsbad, CA) according to the manufacturer</w:t>
      </w:r>
      <w:r w:rsidRPr="0095162E">
        <w:rPr>
          <w:rFonts w:ascii="Times New Roman" w:hAnsi="Times New Roman"/>
          <w:color w:val="000000" w:themeColor="text1"/>
          <w:sz w:val="24"/>
        </w:rPr>
        <w:t>’</w:t>
      </w:r>
      <w:r w:rsidRPr="0095162E">
        <w:rPr>
          <w:rFonts w:ascii="Times New Roman" w:hAnsi="Times New Roman" w:hint="eastAsia"/>
          <w:color w:val="000000" w:themeColor="text1"/>
          <w:sz w:val="24"/>
        </w:rPr>
        <w:t xml:space="preserve">s instructions. </w:t>
      </w:r>
    </w:p>
    <w:p w:rsidR="00465DA0" w:rsidRPr="0095162E" w:rsidRDefault="001F7CF8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bCs/>
          <w:color w:val="000000" w:themeColor="text1"/>
          <w:sz w:val="24"/>
        </w:rPr>
      </w:pP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To generate lentivirus expressing shRNA for the knockdown of CENP-E, TTP, UPF1 in A549 and the knockdown of CENP-E in Lewis, we transfected HEK293T cells with shRNA targeting CENP-E, TTP or UPF1 constructs (Sigma) and two packaging plasmids pSPAX2 and pMD2G. </w:t>
      </w:r>
      <w:proofErr w:type="gramStart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shRNA</w:t>
      </w:r>
      <w:proofErr w:type="gramEnd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 for the knockdown of CENP-E in mice were purchased from </w:t>
      </w:r>
      <w:proofErr w:type="spellStart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GenePharm</w:t>
      </w:r>
      <w:proofErr w:type="spellEnd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 in Shanghai, China. The shRNA were listed below. </w:t>
      </w:r>
      <w:proofErr w:type="gramStart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Human CENPE-sh1: 5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-CCGGGCAACTACACAGTCGAATTATCTCGAGA TAATTCGACTGTGTAGTT GCTTTTTTG-3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, human CENPE-sh2: 5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-CCGGACC TCATCCAGTTCGCTATTTCTCGAGAAATAGCGAACTGGATGAGGTTTTTTTG-3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, human CENPE-sh3: 5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-CCGGGCCACTAGAGTTGAAAGATAACTCGAGTT ATCTTTCAACTCTAGT GGCTTTTTG-3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.</w:t>
      </w:r>
      <w:proofErr w:type="gramEnd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 </w:t>
      </w:r>
      <w:proofErr w:type="gramStart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Human TTP-sh1: 5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-CCGGGA CGGAACTCTGTCACAAGTTCTCGAGAACTTGTGACAGAGTTC CGTCTTT TT-3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, 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lastRenderedPageBreak/>
        <w:t>human TTP-sh2: 5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-CCGGCCCATCTTCAATCGCATCTCTCTCGAGAGA GATGCGATTGAAGAT GGGTTTTT-3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, human TTP-sh3: 5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-CCGGGATCCGACC CTGATGAATATGCTCGAGCATATTCATCAGGGTCGGA TCTTTTTTG-3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.</w:t>
      </w:r>
      <w:proofErr w:type="gramEnd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 </w:t>
      </w:r>
      <w:proofErr w:type="gramStart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Human UPF1-sh1: 5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-CCGGGCCTACCAGTACCAGAACATACTCGAGTATGTT CTGGTACTGGTA GGCTTTTT-3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, human UPF1-sh2: 5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-CCGGGCTGAGTTGAA CTTCGAGGAACTCGAGTTCCTCGAAGTTCAACTCAGCTTTTT-3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, human UPF1-sh3: 5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-CCGGGCAAGGTATGGCGTCATCATTCTCGAGAATGATGACGCC ATACCT TGCTTTTT-3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.</w:t>
      </w:r>
      <w:proofErr w:type="gramEnd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 Mouse CENPE-sh1: 5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-GCTGCTTCCTGTTGTCAAAG A-3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, mouse CENPE-sh2: 5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-GGAGAATACTGTACAGGAAGA-3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, mouse CENPE-sh3: 5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-GCATGAGTCCATCAATAAACG-3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’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. Twenty-four hours after transfection, the medium was changed, and then the supernatant containing virus was collected and filtered through 0.45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μ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M filters at 24-h intervals. Then the cells were incubated in lentivirus-containing culture medium with </w:t>
      </w:r>
      <w:proofErr w:type="spellStart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polybrene</w:t>
      </w:r>
      <w:proofErr w:type="spellEnd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 (10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μ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g/mL). Three days after infection, cells were subjected to </w:t>
      </w:r>
      <w:proofErr w:type="spellStart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puromycin</w:t>
      </w:r>
      <w:proofErr w:type="spellEnd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 selection (1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μ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g/mL) for at least 3 days</w:t>
      </w:r>
      <w:r w:rsidRPr="0095162E">
        <w:rPr>
          <w:rFonts w:ascii="Times New Roman" w:hAnsi="Times New Roman" w:hint="eastAsia"/>
          <w:color w:val="000000" w:themeColor="text1"/>
          <w:sz w:val="24"/>
        </w:rPr>
        <w:t>.</w:t>
      </w:r>
    </w:p>
    <w:p w:rsidR="00465DA0" w:rsidRPr="0095162E" w:rsidRDefault="001F7CF8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</w:pPr>
      <w:r w:rsidRPr="0095162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</w:rPr>
        <w:t>RNA-immunoprecipitation</w:t>
      </w:r>
    </w:p>
    <w:p w:rsidR="00465DA0" w:rsidRPr="0095162E" w:rsidRDefault="001F7CF8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bCs/>
          <w:color w:val="000000" w:themeColor="text1"/>
          <w:sz w:val="24"/>
        </w:rPr>
      </w:pP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RNA-immunoprecipitation (RNA-IP) 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assay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s were 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conducted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using Magna-RIP RNA-IP Kit (Millipore) with IgG control, anti-TTP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 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antibodies according to the manufacturer’s instructions.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 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Total RNA was isolated and 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the </w:t>
      </w:r>
      <w:r w:rsidRPr="0095162E">
        <w:rPr>
          <w:rFonts w:ascii="Times New Roman" w:hAnsi="Times New Roman" w:cs="Times New Roman" w:hint="eastAsia"/>
          <w:color w:val="000000" w:themeColor="text1"/>
          <w:sz w:val="24"/>
        </w:rPr>
        <w:t>reverse transcription PCR and real time PCR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was 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performed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using methods specified in the above section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>. A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% input method 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was used 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to calculate RNA enrichment.</w:t>
      </w:r>
    </w:p>
    <w:p w:rsidR="00465DA0" w:rsidRPr="0095162E" w:rsidRDefault="001F7CF8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</w:pPr>
      <w:proofErr w:type="spellStart"/>
      <w:r w:rsidRPr="0095162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</w:rPr>
        <w:t>Bioinformatic</w:t>
      </w:r>
      <w:proofErr w:type="spellEnd"/>
      <w:r w:rsidRPr="0095162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</w:rPr>
        <w:t xml:space="preserve"> analysis</w:t>
      </w:r>
    </w:p>
    <w:p w:rsidR="00465DA0" w:rsidRPr="0095162E" w:rsidRDefault="001F7CF8">
      <w:pPr>
        <w:spacing w:line="360" w:lineRule="auto"/>
        <w:rPr>
          <w:rFonts w:cs="Times New Roman"/>
          <w:bCs/>
          <w:color w:val="000000" w:themeColor="text1"/>
          <w:sz w:val="24"/>
        </w:rPr>
      </w:pP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The</w:t>
      </w:r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 expression of CENP-E was analyzed within UALCAN. The relationship between survival and CENP-E expression in lung cancer patients was analyzed on Kaplan-Meier plotter. The relationship between the expression of CENP-E and immune molecules in lung cancer was analyzed on</w:t>
      </w:r>
      <w:r w:rsidRPr="0095162E">
        <w:rPr>
          <w:rFonts w:ascii="Times New Roman" w:hAnsi="Times New Roman" w:cs="Times New Roman"/>
          <w:color w:val="000000" w:themeColor="text1"/>
          <w:sz w:val="24"/>
        </w:rPr>
        <w:t xml:space="preserve"> Genomics Analysis and Visualization Platform</w:t>
      </w:r>
      <w:r w:rsidRPr="0095162E">
        <w:rPr>
          <w:rFonts w:cs="Times New Roman" w:hint="eastAsia"/>
          <w:bCs/>
          <w:color w:val="000000" w:themeColor="text1"/>
          <w:sz w:val="24"/>
        </w:rPr>
        <w:t xml:space="preserve">. </w:t>
      </w:r>
      <w:proofErr w:type="gramStart"/>
      <w:r w:rsidRPr="0095162E">
        <w:rPr>
          <w:rFonts w:cs="Times New Roman" w:hint="eastAsia"/>
          <w:bCs/>
          <w:color w:val="000000" w:themeColor="text1"/>
          <w:sz w:val="24"/>
        </w:rPr>
        <w:t>All the data from TCGA data base.</w:t>
      </w:r>
      <w:proofErr w:type="gramEnd"/>
    </w:p>
    <w:p w:rsidR="00465DA0" w:rsidRPr="0095162E" w:rsidRDefault="001F7CF8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</w:pPr>
      <w:r w:rsidRPr="0095162E"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24"/>
        </w:rPr>
        <w:t>Chip assay</w:t>
      </w:r>
    </w:p>
    <w:p w:rsidR="00465DA0" w:rsidRPr="0095162E" w:rsidRDefault="001F7CF8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</w:rPr>
      </w:pP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Passage A549 cells, 80% confluent, were synchronized by starving in DMEM 0.1% FBS, for 72 h; then 20% FBS DMEM was 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readded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and 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ChIP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was performed at 0, 6, 12, 16, and 20 h post 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lastRenderedPageBreak/>
        <w:t>reinduction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. Cells were fixed for 20 min with crosslinking solution (11% formaldehyde, 0.1 M 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NaCl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, 1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 Na-EDTA pH 8, 0.5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 Na-EGTA pH 8, 50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 HEPES pH 8, 1/10 volume (Vol) added to the medium), and blocked in 0.125 M glycine in PBS at room temperature (RT). Cells were collected in 10 ml buffer A (0.25% Triton X-100, 10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 Na-EDTA pH 8, 0.5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 Na-EGTA pH 8, 10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 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Tris-HCl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pH 8, anti-proteases (10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μg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/ml 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aprotinin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, 10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μg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/ml 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leupeptin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, 5 mg/ml 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pepstatin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), anti-phosphatases (1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 sodium 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orthovanadate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, 10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 tetra-sodium pyrophosphate, 10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 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NaF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), and 0.5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 PMSF), incubated 10 min at 4°C on a wheel, centrifuged for 5 min at 1500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r.p.m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., and 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resuspended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in 10 ml of buffer B (0.2 M 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NaCl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, 10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mMNa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-EDTA pH 8, 0.5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 Na-EGTA pH 8, 10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 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Tris-HCl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pH 8, 0.5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mMPMSF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, anti-proteases, and anti-phosphatases). Incubation and centrifugation steps were repeated, and the pellets were 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resuspended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in 440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μl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of sonication buffer (0.2 M 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NaCl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, 10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 Na-EDTA pH 8, 0.5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mMNa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-EGTA pH 8, 10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 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Tris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-Cl pH 8, anti-proteases, anti-phosphatases, and 0.5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mM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 PMSF). Samples were sonicated for 3 × 30 s, yielding genomic DNA fragments with a bulk size of 300–2000 base pairs, and the sonication buffer was adjusted to an RIPA buffer by adding 1% Triton X-100, 0.1% sodium dodecyl 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sulphate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(SDS), and 0.1% sodium 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deoxycholate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(DOC) final concentration. Samples were incubated for 10 min on a wheel at 4°C and then centrifuged for 10 min at 10 000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r.p.m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. In all, </w:t>
      </w:r>
      <w:proofErr w:type="gram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50 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μl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/sample</w:t>
      </w:r>
      <w:proofErr w:type="gram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were kept to recover total DNA input, and 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ChIP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was performed, either with 2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μg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of anti-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Myc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N-262 or without antibody. After crosslinking reversal, protein extraction, and ethanol precipitation, DNA was 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resuspended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in TE, 50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μl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for total input, and 100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μl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for 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ChIP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samples.ChIP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DNA (1–2 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μl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) was used for PCR analysis.</w:t>
      </w:r>
    </w:p>
    <w:p w:rsidR="00465DA0" w:rsidRPr="0095162E" w:rsidRDefault="00465DA0">
      <w:pPr>
        <w:spacing w:line="360" w:lineRule="auto"/>
        <w:jc w:val="left"/>
        <w:rPr>
          <w:rFonts w:ascii="Times New Roman" w:hAnsi="Times New Roman"/>
          <w:b/>
          <w:i/>
          <w:color w:val="000000" w:themeColor="text1"/>
          <w:sz w:val="24"/>
        </w:rPr>
      </w:pPr>
    </w:p>
    <w:p w:rsidR="00465DA0" w:rsidRPr="0095162E" w:rsidRDefault="00465DA0">
      <w:pPr>
        <w:spacing w:line="360" w:lineRule="auto"/>
        <w:jc w:val="left"/>
        <w:rPr>
          <w:rFonts w:ascii="Times New Roman" w:hAnsi="Times New Roman"/>
          <w:b/>
          <w:i/>
          <w:color w:val="000000" w:themeColor="text1"/>
          <w:sz w:val="24"/>
        </w:rPr>
      </w:pPr>
    </w:p>
    <w:p w:rsidR="00465DA0" w:rsidRPr="0095162E" w:rsidRDefault="00465DA0">
      <w:pPr>
        <w:spacing w:line="360" w:lineRule="auto"/>
        <w:jc w:val="left"/>
        <w:rPr>
          <w:rFonts w:ascii="Times New Roman" w:hAnsi="Times New Roman"/>
          <w:b/>
          <w:i/>
          <w:color w:val="000000" w:themeColor="text1"/>
          <w:sz w:val="24"/>
        </w:rPr>
      </w:pPr>
    </w:p>
    <w:p w:rsidR="00465DA0" w:rsidRPr="0095162E" w:rsidRDefault="00465DA0">
      <w:pPr>
        <w:spacing w:line="360" w:lineRule="auto"/>
        <w:jc w:val="left"/>
        <w:rPr>
          <w:rFonts w:ascii="Times New Roman" w:hAnsi="Times New Roman"/>
          <w:b/>
          <w:i/>
          <w:color w:val="000000" w:themeColor="text1"/>
          <w:sz w:val="24"/>
        </w:rPr>
      </w:pPr>
    </w:p>
    <w:p w:rsidR="00465DA0" w:rsidRPr="0095162E" w:rsidRDefault="00465DA0">
      <w:pPr>
        <w:spacing w:line="360" w:lineRule="auto"/>
        <w:jc w:val="left"/>
        <w:rPr>
          <w:rFonts w:ascii="Times New Roman" w:hAnsi="Times New Roman"/>
          <w:b/>
          <w:i/>
          <w:color w:val="000000" w:themeColor="text1"/>
          <w:sz w:val="24"/>
        </w:rPr>
      </w:pPr>
    </w:p>
    <w:p w:rsidR="00465DA0" w:rsidRPr="0095162E" w:rsidRDefault="00465DA0">
      <w:pPr>
        <w:spacing w:line="360" w:lineRule="auto"/>
        <w:jc w:val="left"/>
        <w:rPr>
          <w:rFonts w:ascii="Times New Roman" w:hAnsi="Times New Roman"/>
          <w:b/>
          <w:i/>
          <w:color w:val="000000" w:themeColor="text1"/>
          <w:sz w:val="24"/>
        </w:rPr>
      </w:pPr>
    </w:p>
    <w:p w:rsidR="00465DA0" w:rsidRPr="0095162E" w:rsidRDefault="00465DA0">
      <w:pPr>
        <w:spacing w:line="360" w:lineRule="auto"/>
        <w:jc w:val="left"/>
        <w:rPr>
          <w:rFonts w:ascii="Times New Roman" w:hAnsi="Times New Roman"/>
          <w:b/>
          <w:i/>
          <w:color w:val="000000" w:themeColor="text1"/>
          <w:sz w:val="24"/>
        </w:rPr>
      </w:pPr>
    </w:p>
    <w:p w:rsidR="00465DA0" w:rsidRPr="0095162E" w:rsidRDefault="001F7CF8">
      <w:pPr>
        <w:spacing w:line="360" w:lineRule="auto"/>
        <w:jc w:val="left"/>
        <w:rPr>
          <w:rFonts w:ascii="Times New Roman" w:hAnsi="Times New Roman"/>
          <w:b/>
          <w:i/>
          <w:color w:val="000000" w:themeColor="text1"/>
          <w:sz w:val="24"/>
        </w:rPr>
      </w:pPr>
      <w:r w:rsidRPr="0095162E">
        <w:rPr>
          <w:rFonts w:ascii="Times New Roman" w:hAnsi="Times New Roman"/>
          <w:b/>
          <w:i/>
          <w:color w:val="000000" w:themeColor="text1"/>
          <w:sz w:val="24"/>
        </w:rPr>
        <w:lastRenderedPageBreak/>
        <w:t>Supplemental Figures</w:t>
      </w:r>
    </w:p>
    <w:p w:rsidR="00465DA0" w:rsidRPr="0095162E" w:rsidRDefault="001F7CF8">
      <w:pPr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lang w:eastAsia="en-US"/>
        </w:rPr>
      </w:pPr>
      <w:r w:rsidRPr="0095162E">
        <w:rPr>
          <w:rFonts w:ascii="Times New Roman" w:hAnsi="Times New Roman" w:cs="Times New Roman"/>
          <w:bCs/>
          <w:noProof/>
          <w:color w:val="000000" w:themeColor="text1"/>
          <w:sz w:val="24"/>
          <w:lang w:eastAsia="en-US"/>
        </w:rPr>
        <w:drawing>
          <wp:inline distT="0" distB="0" distL="0" distR="0" wp14:anchorId="5A34A2DE" wp14:editId="3058F9C3">
            <wp:extent cx="5818505" cy="5556250"/>
            <wp:effectExtent l="0" t="0" r="1079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781" cy="556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DA0" w:rsidRPr="0095162E" w:rsidRDefault="001F7CF8">
      <w:pPr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4"/>
        </w:rPr>
      </w:pPr>
      <w:r w:rsidRPr="0095162E">
        <w:rPr>
          <w:rFonts w:ascii="Times New Roman" w:hAnsi="Times New Roman" w:cs="Times New Roman"/>
          <w:b/>
          <w:bCs/>
          <w:color w:val="000000" w:themeColor="text1"/>
          <w:sz w:val="24"/>
        </w:rPr>
        <w:t>Figure S1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Relationship between CENPE expression and prognosis of 8 cancers. These data were analyzed using Kaplan-Meier plotter from the TCGA database.</w:t>
      </w:r>
    </w:p>
    <w:p w:rsidR="00465DA0" w:rsidRPr="0095162E" w:rsidRDefault="001F7CF8">
      <w:pPr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4"/>
        </w:rPr>
      </w:pP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LUAD: Lung adenocarcinoma; LUSC: Lung squamous cell carcinoma; BRCA: Breast invasive carcinoma; COAD: Colon adenocarcinoma; SKCM: Skin cutaneous melanoma; STAD: Stomach adenocarcinoma; TGCT: Testicular germ cell tumors; BLCA: Bladder urothelial carcinoma.</w:t>
      </w:r>
    </w:p>
    <w:p w:rsidR="00465DA0" w:rsidRPr="0095162E" w:rsidRDefault="00465DA0">
      <w:pPr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465DA0" w:rsidRPr="0095162E" w:rsidRDefault="001F7CF8">
      <w:pPr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4"/>
        </w:rPr>
      </w:pPr>
      <w:r w:rsidRPr="0095162E">
        <w:rPr>
          <w:rFonts w:ascii="Times New Roman" w:hAnsi="Times New Roman" w:cs="Times New Roman"/>
          <w:bCs/>
          <w:noProof/>
          <w:color w:val="000000" w:themeColor="text1"/>
          <w:sz w:val="24"/>
          <w:lang w:eastAsia="en-US"/>
        </w:rPr>
        <w:lastRenderedPageBreak/>
        <w:drawing>
          <wp:inline distT="0" distB="0" distL="0" distR="0" wp14:anchorId="24A0C636" wp14:editId="46E0DAD0">
            <wp:extent cx="4503420" cy="3030855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303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DA0" w:rsidRPr="0095162E" w:rsidRDefault="001F7CF8">
      <w:pPr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4"/>
        </w:rPr>
      </w:pPr>
      <w:r w:rsidRPr="0095162E">
        <w:rPr>
          <w:rFonts w:ascii="Times New Roman" w:hAnsi="Times New Roman" w:cs="Times New Roman"/>
          <w:b/>
          <w:bCs/>
          <w:color w:val="000000" w:themeColor="text1"/>
          <w:sz w:val="24"/>
        </w:rPr>
        <w:t>Figure S</w:t>
      </w:r>
      <w:r w:rsidR="001C2E3F" w:rsidRPr="0095162E">
        <w:rPr>
          <w:rFonts w:ascii="Times New Roman" w:hAnsi="Times New Roman" w:cs="Times New Roman"/>
          <w:b/>
          <w:bCs/>
          <w:color w:val="000000" w:themeColor="text1"/>
          <w:sz w:val="24"/>
        </w:rPr>
        <w:t>2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The gating strategy of flow cytometry for T cell subsets.</w:t>
      </w:r>
    </w:p>
    <w:p w:rsidR="00465DA0" w:rsidRPr="0095162E" w:rsidRDefault="001F7CF8">
      <w:pPr>
        <w:pStyle w:val="ListParagraph"/>
        <w:spacing w:line="360" w:lineRule="auto"/>
        <w:ind w:left="0"/>
        <w:jc w:val="left"/>
        <w:rPr>
          <w:rFonts w:ascii="Times New Roman" w:hAnsi="Times New Roman" w:cs="Times New Roman"/>
          <w:bCs/>
          <w:color w:val="000000" w:themeColor="text1"/>
          <w:sz w:val="24"/>
        </w:rPr>
      </w:pPr>
      <w:proofErr w:type="gramStart"/>
      <w:r w:rsidRPr="0095162E">
        <w:rPr>
          <w:rFonts w:ascii="Times New Roman" w:hAnsi="Times New Roman" w:cs="Times New Roman" w:hint="eastAsia"/>
          <w:bCs/>
          <w:color w:val="000000" w:themeColor="text1"/>
          <w:sz w:val="24"/>
        </w:rPr>
        <w:t xml:space="preserve">(A) </w:t>
      </w:r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The gate for CD4 and CD8 T cells; (B) The gate for </w:t>
      </w:r>
      <w:proofErr w:type="spellStart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>Treg</w:t>
      </w:r>
      <w:proofErr w:type="spellEnd"/>
      <w:r w:rsidRPr="0095162E">
        <w:rPr>
          <w:rFonts w:ascii="Times New Roman" w:hAnsi="Times New Roman" w:cs="Times New Roman"/>
          <w:bCs/>
          <w:color w:val="000000" w:themeColor="text1"/>
          <w:sz w:val="24"/>
        </w:rPr>
        <w:t xml:space="preserve"> cells.</w:t>
      </w:r>
      <w:proofErr w:type="gramEnd"/>
    </w:p>
    <w:p w:rsidR="00465DA0" w:rsidRPr="0095162E" w:rsidRDefault="00465DA0">
      <w:pPr>
        <w:spacing w:line="360" w:lineRule="auto"/>
        <w:ind w:left="360"/>
        <w:jc w:val="left"/>
        <w:rPr>
          <w:rFonts w:ascii="Times New Roman" w:hAnsi="Times New Roman" w:cs="Times New Roman"/>
          <w:bCs/>
          <w:color w:val="000000" w:themeColor="text1"/>
          <w:sz w:val="24"/>
        </w:rPr>
      </w:pPr>
    </w:p>
    <w:p w:rsidR="00465DA0" w:rsidRPr="0095162E" w:rsidRDefault="00465DA0">
      <w:pPr>
        <w:rPr>
          <w:color w:val="000000" w:themeColor="text1"/>
        </w:rPr>
      </w:pPr>
    </w:p>
    <w:sectPr w:rsidR="00465DA0" w:rsidRPr="0095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83"/>
    <w:rsid w:val="001C2E3F"/>
    <w:rsid w:val="001F7CF8"/>
    <w:rsid w:val="00465DA0"/>
    <w:rsid w:val="006A4CEA"/>
    <w:rsid w:val="006E76F0"/>
    <w:rsid w:val="00930883"/>
    <w:rsid w:val="0095162E"/>
    <w:rsid w:val="00C01A66"/>
    <w:rsid w:val="00C521AE"/>
    <w:rsid w:val="1DFF36FC"/>
    <w:rsid w:val="2C3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1250</Words>
  <Characters>7129</Characters>
  <Application>Microsoft Office Word</Application>
  <DocSecurity>0</DocSecurity>
  <Lines>59</Lines>
  <Paragraphs>16</Paragraphs>
  <ScaleCrop>false</ScaleCrop>
  <Company>Mayo Clinic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  Zhang</dc:creator>
  <cp:lastModifiedBy>Yong  Zhang</cp:lastModifiedBy>
  <cp:revision>6</cp:revision>
  <dcterms:created xsi:type="dcterms:W3CDTF">2020-08-21T17:35:00Z</dcterms:created>
  <dcterms:modified xsi:type="dcterms:W3CDTF">2020-10-27T21:25:00Z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