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D92" w:rsidRDefault="00CD0D92" w:rsidP="00CD0D92">
      <w:pPr>
        <w:spacing w:line="360" w:lineRule="auto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Supplementary Material</w:t>
      </w:r>
    </w:p>
    <w:p w:rsidR="00CD0D92" w:rsidRDefault="00CD0D92" w:rsidP="00CD0D92">
      <w:pPr>
        <w:spacing w:line="360" w:lineRule="auto"/>
        <w:jc w:val="center"/>
        <w:rPr>
          <w:sz w:val="32"/>
          <w:szCs w:val="32"/>
        </w:rPr>
      </w:pPr>
    </w:p>
    <w:p w:rsidR="00CD0D92" w:rsidRPr="00EA55A1" w:rsidRDefault="00CD0D92" w:rsidP="00CD0D92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Nanostructured </w:t>
      </w:r>
      <w:r w:rsidRPr="00EA55A1">
        <w:rPr>
          <w:rFonts w:hint="eastAsia"/>
          <w:sz w:val="32"/>
          <w:szCs w:val="32"/>
        </w:rPr>
        <w:t>MnO</w:t>
      </w:r>
      <w:r w:rsidRPr="00EA55A1">
        <w:rPr>
          <w:rFonts w:hint="eastAsia"/>
          <w:sz w:val="32"/>
          <w:szCs w:val="32"/>
          <w:vertAlign w:val="subscript"/>
        </w:rPr>
        <w:t>2</w:t>
      </w:r>
      <w:r>
        <w:rPr>
          <w:sz w:val="32"/>
          <w:szCs w:val="32"/>
        </w:rPr>
        <w:t xml:space="preserve"> modified </w:t>
      </w:r>
      <w:r w:rsidRPr="00EA55A1">
        <w:rPr>
          <w:rFonts w:hint="eastAsia"/>
          <w:sz w:val="32"/>
          <w:szCs w:val="32"/>
        </w:rPr>
        <w:t>TiN nanotube arrays for advanced supercapacitor electrode</w:t>
      </w:r>
      <w:r>
        <w:rPr>
          <w:sz w:val="32"/>
          <w:szCs w:val="32"/>
        </w:rPr>
        <w:t xml:space="preserve"> material</w:t>
      </w:r>
    </w:p>
    <w:p w:rsidR="002A17D0" w:rsidRDefault="002A17D0" w:rsidP="002A17D0">
      <w:pPr>
        <w:jc w:val="center"/>
        <w:rPr>
          <w:i/>
          <w:vertAlign w:val="superscript"/>
        </w:rPr>
      </w:pPr>
      <w:r>
        <w:t>Peng Ren</w:t>
      </w:r>
      <w:r>
        <w:rPr>
          <w:i/>
          <w:vertAlign w:val="superscript"/>
        </w:rPr>
        <w:t>a,c*</w:t>
      </w:r>
      <w:r>
        <w:t>, Chao Chen</w:t>
      </w:r>
      <w:r>
        <w:rPr>
          <w:i/>
          <w:vertAlign w:val="superscript"/>
        </w:rPr>
        <w:t xml:space="preserve"> b*</w:t>
      </w:r>
      <w:r>
        <w:t>, Xiuchun Yang</w:t>
      </w:r>
      <w:r>
        <w:rPr>
          <w:i/>
          <w:vertAlign w:val="superscript"/>
        </w:rPr>
        <w:t xml:space="preserve"> a,c,d †</w:t>
      </w:r>
    </w:p>
    <w:p w:rsidR="002A17D0" w:rsidRDefault="002A17D0" w:rsidP="002A17D0">
      <w:pPr>
        <w:rPr>
          <w:lang w:val="fr-FR"/>
        </w:rPr>
      </w:pPr>
      <w:r>
        <w:rPr>
          <w:lang w:val="fr-FR"/>
        </w:rPr>
        <w:t>a)</w:t>
      </w:r>
      <w:r>
        <w:rPr>
          <w:lang w:val="fr-FR"/>
        </w:rPr>
        <w:tab/>
      </w:r>
      <w:r>
        <w:rPr>
          <w:lang w:val="en-GB"/>
        </w:rPr>
        <w:t xml:space="preserve">Shanghai Key Laboratory of R&amp;D for Metallic Functional Materials, Tongji University, Shanghai, 201804, </w:t>
      </w:r>
      <w:r>
        <w:t>PR</w:t>
      </w:r>
      <w:r>
        <w:rPr>
          <w:lang w:val="en-GB"/>
        </w:rPr>
        <w:t xml:space="preserve"> China</w:t>
      </w:r>
    </w:p>
    <w:p w:rsidR="002A17D0" w:rsidRDefault="002A17D0" w:rsidP="002A17D0">
      <w:pPr>
        <w:rPr>
          <w:lang w:val="fr-FR"/>
        </w:rPr>
      </w:pPr>
      <w:r>
        <w:rPr>
          <w:lang w:val="fr-FR"/>
        </w:rPr>
        <w:t xml:space="preserve">b)  </w:t>
      </w:r>
      <w:r>
        <w:t>School of Chemistry and Civil Engineering, Shaoguan University, Shaoguan 512005, PR China</w:t>
      </w:r>
    </w:p>
    <w:p w:rsidR="002A17D0" w:rsidRDefault="002A17D0" w:rsidP="002A17D0">
      <w:pPr>
        <w:rPr>
          <w:lang w:val="fr-FR"/>
        </w:rPr>
      </w:pPr>
      <w:r>
        <w:rPr>
          <w:lang w:val="fr-FR"/>
        </w:rPr>
        <w:t>c)</w:t>
      </w:r>
      <w:r>
        <w:rPr>
          <w:lang w:val="fr-FR"/>
        </w:rPr>
        <w:tab/>
        <w:t xml:space="preserve">School of </w:t>
      </w:r>
      <w:bookmarkStart w:id="0" w:name="_GoBack"/>
      <w:bookmarkEnd w:id="0"/>
      <w:r>
        <w:rPr>
          <w:lang w:val="fr-FR"/>
        </w:rPr>
        <w:t xml:space="preserve">Materials Science and Engineering, Tongji University, Shanghai, 201804, </w:t>
      </w:r>
      <w:r>
        <w:t>PR</w:t>
      </w:r>
      <w:r>
        <w:rPr>
          <w:lang w:val="fr-FR"/>
        </w:rPr>
        <w:t xml:space="preserve"> China</w:t>
      </w:r>
    </w:p>
    <w:p w:rsidR="002A17D0" w:rsidRDefault="002A17D0" w:rsidP="002A17D0">
      <w:pPr>
        <w:rPr>
          <w:lang w:val="fr-FR"/>
        </w:rPr>
      </w:pPr>
      <w:r>
        <w:rPr>
          <w:lang w:val="fr-FR"/>
        </w:rPr>
        <w:t xml:space="preserve">d)  Key Laboratory of Advanced Civil Engineering Materials (Tongji University), Education of Ministry, Shanghai 201804, </w:t>
      </w:r>
      <w:r>
        <w:t>PR</w:t>
      </w:r>
      <w:r>
        <w:rPr>
          <w:lang w:val="fr-FR"/>
        </w:rPr>
        <w:t xml:space="preserve"> of China</w:t>
      </w:r>
    </w:p>
    <w:p w:rsidR="002A17D0" w:rsidRDefault="002A17D0" w:rsidP="002A17D0">
      <w:pPr>
        <w:rPr>
          <w:lang w:val="fr-FR"/>
        </w:rPr>
      </w:pPr>
      <w:r>
        <w:t>*  These authors contributed equally to this work.</w:t>
      </w:r>
    </w:p>
    <w:p w:rsidR="002A17D0" w:rsidRDefault="002A17D0" w:rsidP="002A17D0">
      <w:pPr>
        <w:rPr>
          <w:lang w:val="fr-FR"/>
        </w:rPr>
      </w:pPr>
      <w:r>
        <w:rPr>
          <w:lang w:val="fr-FR"/>
        </w:rPr>
        <w:t>†  Corresponding E-mail: yangxc@tongji.edu.cn</w:t>
      </w:r>
    </w:p>
    <w:p w:rsidR="00CD0D92" w:rsidRPr="002A17D0" w:rsidRDefault="00CD0D92" w:rsidP="00CD0D92">
      <w:pPr>
        <w:spacing w:line="360" w:lineRule="auto"/>
        <w:rPr>
          <w:lang w:val="fr-FR"/>
        </w:rPr>
      </w:pPr>
    </w:p>
    <w:p w:rsidR="00CD0D92" w:rsidRPr="00CD0D92" w:rsidRDefault="00CD0D92" w:rsidP="00CD0D92">
      <w:pPr>
        <w:spacing w:line="360" w:lineRule="auto"/>
        <w:rPr>
          <w:b/>
        </w:rPr>
      </w:pPr>
      <w:r w:rsidRPr="00CD0D92">
        <w:rPr>
          <w:rFonts w:hint="eastAsia"/>
          <w:b/>
        </w:rPr>
        <w:t>Materials and methods</w:t>
      </w:r>
    </w:p>
    <w:p w:rsidR="00CD0D92" w:rsidRDefault="00CD0D92" w:rsidP="00CD0D92">
      <w:pPr>
        <w:spacing w:line="360" w:lineRule="auto"/>
        <w:ind w:firstLineChars="200" w:firstLine="420"/>
      </w:pPr>
      <w:r w:rsidRPr="00C062D3">
        <w:rPr>
          <w:i/>
        </w:rPr>
        <w:t>Chemicals</w:t>
      </w:r>
      <w:r>
        <w:t>: Ti mesh (50 meshes, 99.5% purity) with the thickness of 0.12 mm and 40 wt.% hydrofluoric acid. All reagents are analytical grade and used without further purification.</w:t>
      </w:r>
    </w:p>
    <w:p w:rsidR="00CD0D92" w:rsidRDefault="00CD0D92" w:rsidP="00CD0D92">
      <w:pPr>
        <w:spacing w:line="360" w:lineRule="auto"/>
        <w:ind w:firstLineChars="200" w:firstLine="420"/>
      </w:pPr>
      <w:r w:rsidRPr="00C062D3">
        <w:rPr>
          <w:i/>
        </w:rPr>
        <w:t>Preparation of TONM</w:t>
      </w:r>
      <w:r>
        <w:t>: A large piece of raw Ti mesh was cut into square pieces of 2.5 × 2.5 cm</w:t>
      </w:r>
      <w:r w:rsidRPr="00C062D3">
        <w:rPr>
          <w:vertAlign w:val="superscript"/>
        </w:rPr>
        <w:t>2</w:t>
      </w:r>
      <w:r>
        <w:t>, which were ultrasonically degreased in acetone, isopropanol, and methanol for 15 min, respectively, and then chemically etched in a mixture of HF and HNO</w:t>
      </w:r>
      <w:r w:rsidRPr="002C5476">
        <w:rPr>
          <w:vertAlign w:val="subscript"/>
        </w:rPr>
        <w:t>3</w:t>
      </w:r>
      <w:r>
        <w:t xml:space="preserve"> aqueous solution (HF:HNO</w:t>
      </w:r>
      <w:r w:rsidRPr="002C5476">
        <w:rPr>
          <w:vertAlign w:val="subscript"/>
        </w:rPr>
        <w:t>3</w:t>
      </w:r>
      <w:r>
        <w:t>:H</w:t>
      </w:r>
      <w:r w:rsidRPr="002C5476">
        <w:rPr>
          <w:vertAlign w:val="subscript"/>
        </w:rPr>
        <w:t>2</w:t>
      </w:r>
      <w:r>
        <w:t>O = 1:4:10 in volume) for 10 s, afterwards rinsed with deionized water and finally dried in air. Electrochemical anodic oxidation was performed at 60 V direct current voltages for 24 h in DEG solution containing 1.5 vol.% HF, using Ti mesh as the working electrode and Pt plate as counter</w:t>
      </w:r>
      <w:r>
        <w:rPr>
          <w:rFonts w:hint="eastAsia"/>
        </w:rPr>
        <w:t xml:space="preserve"> </w:t>
      </w:r>
      <w:r>
        <w:t>electrode. The as-prepared samples were ultrasonically rinsed with deionized water and dried in air.</w:t>
      </w:r>
    </w:p>
    <w:p w:rsidR="00CD0D92" w:rsidRDefault="00CD0D92" w:rsidP="00CD0D92">
      <w:pPr>
        <w:spacing w:line="360" w:lineRule="auto"/>
        <w:ind w:firstLineChars="200" w:firstLine="420"/>
      </w:pPr>
      <w:r>
        <w:rPr>
          <w:i/>
        </w:rPr>
        <w:t xml:space="preserve">Preparation of </w:t>
      </w:r>
      <w:r w:rsidRPr="00C062D3">
        <w:rPr>
          <w:i/>
        </w:rPr>
        <w:t>TN</w:t>
      </w:r>
      <w:r>
        <w:rPr>
          <w:i/>
        </w:rPr>
        <w:t>N</w:t>
      </w:r>
      <w:r w:rsidRPr="00C062D3">
        <w:rPr>
          <w:i/>
        </w:rPr>
        <w:t>M</w:t>
      </w:r>
      <w:r>
        <w:t>: TONM samples in a quartz boat were placed in the heating center of a horizontal quartz tube vacuum furnace. Prior to heating, the system was evacuated and flushed with high pure N</w:t>
      </w:r>
      <w:r w:rsidRPr="00C062D3">
        <w:rPr>
          <w:vertAlign w:val="subscript"/>
        </w:rPr>
        <w:t>2</w:t>
      </w:r>
      <w:r>
        <w:t xml:space="preserve"> to eliminate oxygen. Afterwards, the furnace was heated in N</w:t>
      </w:r>
      <w:r w:rsidRPr="00C062D3">
        <w:rPr>
          <w:vertAlign w:val="subscript"/>
        </w:rPr>
        <w:t>2</w:t>
      </w:r>
      <w:r>
        <w:t xml:space="preserve"> to 750 °C, and then changed to NH</w:t>
      </w:r>
      <w:r w:rsidRPr="00C062D3">
        <w:rPr>
          <w:vertAlign w:val="subscript"/>
        </w:rPr>
        <w:t>3</w:t>
      </w:r>
      <w:r>
        <w:t xml:space="preserve"> flow keeping a flow rate of 100 mL min</w:t>
      </w:r>
      <w:r w:rsidRPr="00C062D3">
        <w:rPr>
          <w:vertAlign w:val="superscript"/>
        </w:rPr>
        <w:t>-1</w:t>
      </w:r>
      <w:r>
        <w:t xml:space="preserve"> for 5 h while the temperature was maintained. Finally, the furnace cooled down to room temperature in N</w:t>
      </w:r>
      <w:r w:rsidRPr="00C062D3">
        <w:rPr>
          <w:vertAlign w:val="subscript"/>
        </w:rPr>
        <w:t>2</w:t>
      </w:r>
      <w:r>
        <w:t>.</w:t>
      </w:r>
    </w:p>
    <w:p w:rsidR="00CD0D92" w:rsidRDefault="00CD0D92" w:rsidP="00CD0D92">
      <w:pPr>
        <w:spacing w:line="360" w:lineRule="auto"/>
        <w:ind w:firstLineChars="200" w:firstLine="420"/>
        <w:rPr>
          <w:bCs/>
          <w:lang w:val="de-DE"/>
        </w:rPr>
      </w:pPr>
      <w:r>
        <w:rPr>
          <w:i/>
        </w:rPr>
        <w:t>Preparation of MnO</w:t>
      </w:r>
      <w:r w:rsidRPr="00C062D3">
        <w:rPr>
          <w:i/>
          <w:vertAlign w:val="subscript"/>
        </w:rPr>
        <w:t>2</w:t>
      </w:r>
      <w:r>
        <w:rPr>
          <w:i/>
        </w:rPr>
        <w:t xml:space="preserve"> modified TN</w:t>
      </w:r>
      <w:r w:rsidRPr="00C062D3">
        <w:rPr>
          <w:i/>
        </w:rPr>
        <w:t>NM</w:t>
      </w:r>
      <w:r>
        <w:t xml:space="preserve">: </w:t>
      </w:r>
      <w:r>
        <w:rPr>
          <w:rFonts w:hint="eastAsia"/>
          <w:bCs/>
          <w:lang w:val="de-DE"/>
        </w:rPr>
        <w:t>Different</w:t>
      </w:r>
      <w:r w:rsidRPr="002D406D">
        <w:rPr>
          <w:rFonts w:hint="eastAsia"/>
          <w:bCs/>
          <w:lang w:val="de-DE"/>
        </w:rPr>
        <w:t xml:space="preserve"> </w:t>
      </w:r>
      <w:r>
        <w:rPr>
          <w:bCs/>
          <w:lang w:val="de-DE"/>
        </w:rPr>
        <w:t xml:space="preserve">precursor </w:t>
      </w:r>
      <w:r w:rsidRPr="002D406D">
        <w:rPr>
          <w:rFonts w:hint="eastAsia"/>
          <w:bCs/>
          <w:lang w:val="de-DE"/>
        </w:rPr>
        <w:t>solution</w:t>
      </w:r>
      <w:r>
        <w:rPr>
          <w:bCs/>
          <w:lang w:val="de-DE"/>
        </w:rPr>
        <w:t xml:space="preserve">s were employed for </w:t>
      </w:r>
      <w:r>
        <w:rPr>
          <w:bCs/>
          <w:lang w:val="de-DE"/>
        </w:rPr>
        <w:lastRenderedPageBreak/>
        <w:t>synthesizing MnO</w:t>
      </w:r>
      <w:r w:rsidRPr="00C20F02">
        <w:rPr>
          <w:bCs/>
          <w:vertAlign w:val="subscript"/>
          <w:lang w:val="de-DE"/>
        </w:rPr>
        <w:t>2</w:t>
      </w:r>
      <w:r>
        <w:rPr>
          <w:bCs/>
          <w:lang w:val="de-DE"/>
        </w:rPr>
        <w:t xml:space="preserve"> nanostructures by hydrothermal synthesis method. A TNNM</w:t>
      </w:r>
      <w:r w:rsidRPr="002D406D">
        <w:rPr>
          <w:rFonts w:hint="eastAsia"/>
          <w:bCs/>
          <w:lang w:val="de-DE"/>
        </w:rPr>
        <w:t xml:space="preserve"> sample was placed at the bottom of the reaction solution in sealed </w:t>
      </w:r>
      <w:r>
        <w:rPr>
          <w:bCs/>
          <w:lang w:val="de-DE"/>
        </w:rPr>
        <w:t>1</w:t>
      </w:r>
      <w:r w:rsidRPr="002D406D">
        <w:rPr>
          <w:rFonts w:hint="eastAsia"/>
          <w:bCs/>
          <w:lang w:val="de-DE"/>
        </w:rPr>
        <w:t>50 mL Teflon-lined autoclave, which was put into a muffle furnace</w:t>
      </w:r>
      <w:r>
        <w:rPr>
          <w:bCs/>
          <w:lang w:val="de-DE"/>
        </w:rPr>
        <w:t xml:space="preserve"> for hydrothermal reaction</w:t>
      </w:r>
      <w:r w:rsidRPr="002D406D">
        <w:rPr>
          <w:rFonts w:hint="eastAsia"/>
          <w:bCs/>
          <w:lang w:val="de-DE"/>
        </w:rPr>
        <w:t>.</w:t>
      </w:r>
      <w:r>
        <w:rPr>
          <w:bCs/>
          <w:lang w:val="de-DE"/>
        </w:rPr>
        <w:t xml:space="preserve"> </w:t>
      </w:r>
      <w:r w:rsidRPr="00B04B5E">
        <w:rPr>
          <w:bCs/>
          <w:lang w:val="de-DE"/>
        </w:rPr>
        <w:t xml:space="preserve">The solution compositions and reaction conditions </w:t>
      </w:r>
      <w:r>
        <w:rPr>
          <w:bCs/>
          <w:lang w:val="de-DE"/>
        </w:rPr>
        <w:t>are summarized in Table S1.</w:t>
      </w:r>
    </w:p>
    <w:p w:rsidR="00CD0D92" w:rsidRDefault="00CD0D92" w:rsidP="00CD0D92">
      <w:pPr>
        <w:spacing w:line="360" w:lineRule="auto"/>
      </w:pPr>
    </w:p>
    <w:p w:rsidR="00CD0D92" w:rsidRDefault="00CD0D92" w:rsidP="00CD0D92">
      <w:pPr>
        <w:spacing w:line="360" w:lineRule="auto"/>
      </w:pPr>
      <w:r>
        <w:rPr>
          <w:rFonts w:hint="eastAsia"/>
        </w:rPr>
        <w:t xml:space="preserve">Table </w:t>
      </w:r>
      <w:r>
        <w:t>S</w:t>
      </w:r>
      <w:r>
        <w:rPr>
          <w:rFonts w:hint="eastAsia"/>
        </w:rPr>
        <w:t xml:space="preserve">1. The </w:t>
      </w:r>
      <w:r>
        <w:t>precursor solution compositions and hydrothermal reaction</w:t>
      </w:r>
      <w:r w:rsidRPr="001C3D51">
        <w:t xml:space="preserve"> </w:t>
      </w:r>
      <w:r>
        <w:t>conditions for preparing nanostructured MnO</w:t>
      </w:r>
      <w:r w:rsidRPr="009132D1">
        <w:rPr>
          <w:vertAlign w:val="subscript"/>
        </w:rPr>
        <w:t>2</w:t>
      </w:r>
      <w:r>
        <w:t>.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929"/>
        <w:gridCol w:w="959"/>
        <w:gridCol w:w="1290"/>
        <w:gridCol w:w="1101"/>
        <w:gridCol w:w="858"/>
        <w:gridCol w:w="1274"/>
        <w:gridCol w:w="652"/>
        <w:gridCol w:w="1249"/>
      </w:tblGrid>
      <w:tr w:rsidR="00CD0D92" w:rsidRPr="002D406D" w:rsidTr="00DA4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shd w:val="clear" w:color="auto" w:fill="auto"/>
          </w:tcPr>
          <w:p w:rsidR="00CD0D92" w:rsidRPr="002D406D" w:rsidRDefault="00CD0D92" w:rsidP="00DA4E55">
            <w:pPr>
              <w:spacing w:line="360" w:lineRule="auto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Solution</w:t>
            </w:r>
          </w:p>
        </w:tc>
        <w:tc>
          <w:tcPr>
            <w:tcW w:w="959" w:type="dxa"/>
            <w:shd w:val="clear" w:color="auto" w:fill="auto"/>
          </w:tcPr>
          <w:p w:rsidR="00CD0D92" w:rsidRPr="00C20F0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K</w:t>
            </w:r>
            <w:r>
              <w:rPr>
                <w:b w:val="0"/>
              </w:rPr>
              <w:t>Mn</w:t>
            </w:r>
            <w:r>
              <w:rPr>
                <w:rFonts w:hint="eastAsia"/>
                <w:b w:val="0"/>
              </w:rPr>
              <w:t>O</w:t>
            </w:r>
            <w:r w:rsidRPr="002D406D">
              <w:rPr>
                <w:rFonts w:hint="eastAsia"/>
                <w:b w:val="0"/>
                <w:vertAlign w:val="subscript"/>
              </w:rPr>
              <w:t>4</w:t>
            </w:r>
          </w:p>
        </w:tc>
        <w:tc>
          <w:tcPr>
            <w:tcW w:w="1290" w:type="dxa"/>
            <w:shd w:val="clear" w:color="auto" w:fill="auto"/>
          </w:tcPr>
          <w:p w:rsidR="00CD0D92" w:rsidRPr="002D406D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MnSO</w:t>
            </w:r>
            <w:r w:rsidRPr="002D406D">
              <w:rPr>
                <w:rFonts w:hint="eastAsia"/>
                <w:b w:val="0"/>
                <w:vertAlign w:val="subscript"/>
              </w:rPr>
              <w:t>4</w:t>
            </w:r>
            <w:r>
              <w:rPr>
                <w:b w:val="0"/>
              </w:rPr>
              <w:t>·</w:t>
            </w:r>
            <w:r>
              <w:rPr>
                <w:rFonts w:hint="eastAsia"/>
                <w:b w:val="0"/>
              </w:rPr>
              <w:t>H</w:t>
            </w:r>
            <w:r w:rsidRPr="002D406D">
              <w:rPr>
                <w:rFonts w:hint="eastAsia"/>
                <w:b w:val="0"/>
                <w:vertAlign w:val="subscript"/>
              </w:rPr>
              <w:t>2</w:t>
            </w:r>
            <w:r>
              <w:rPr>
                <w:rFonts w:hint="eastAsia"/>
                <w:b w:val="0"/>
              </w:rPr>
              <w:t>O</w:t>
            </w:r>
          </w:p>
        </w:tc>
        <w:tc>
          <w:tcPr>
            <w:tcW w:w="1101" w:type="dxa"/>
            <w:shd w:val="clear" w:color="auto" w:fill="auto"/>
          </w:tcPr>
          <w:p w:rsidR="00CD0D92" w:rsidRPr="002D406D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HCl</w:t>
            </w:r>
          </w:p>
        </w:tc>
        <w:tc>
          <w:tcPr>
            <w:tcW w:w="858" w:type="dxa"/>
            <w:shd w:val="clear" w:color="auto" w:fill="auto"/>
          </w:tcPr>
          <w:p w:rsidR="00CD0D92" w:rsidRPr="002D406D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H</w:t>
            </w:r>
            <w:r w:rsidRPr="002D406D">
              <w:rPr>
                <w:rFonts w:hint="eastAsia"/>
                <w:b w:val="0"/>
                <w:vertAlign w:val="subscript"/>
              </w:rPr>
              <w:t>2</w:t>
            </w:r>
            <w:r>
              <w:rPr>
                <w:rFonts w:hint="eastAsia"/>
                <w:b w:val="0"/>
              </w:rPr>
              <w:t>O</w:t>
            </w:r>
          </w:p>
        </w:tc>
        <w:tc>
          <w:tcPr>
            <w:tcW w:w="1274" w:type="dxa"/>
            <w:shd w:val="clear" w:color="auto" w:fill="auto"/>
          </w:tcPr>
          <w:p w:rsidR="00CD0D9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Temperature</w:t>
            </w:r>
          </w:p>
          <w:p w:rsidR="00CD0D92" w:rsidRPr="00C20F0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[°C]</w:t>
            </w:r>
          </w:p>
        </w:tc>
        <w:tc>
          <w:tcPr>
            <w:tcW w:w="652" w:type="dxa"/>
            <w:shd w:val="clear" w:color="auto" w:fill="auto"/>
          </w:tcPr>
          <w:p w:rsidR="00CD0D9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Time</w:t>
            </w:r>
          </w:p>
          <w:p w:rsidR="00CD0D92" w:rsidRPr="00C20F0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[h]</w:t>
            </w:r>
          </w:p>
        </w:tc>
        <w:tc>
          <w:tcPr>
            <w:tcW w:w="1249" w:type="dxa"/>
            <w:shd w:val="clear" w:color="auto" w:fill="auto"/>
          </w:tcPr>
          <w:p w:rsidR="00CD0D92" w:rsidRPr="00C20F02" w:rsidRDefault="00CD0D92" w:rsidP="00DA4E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rFonts w:hint="eastAsia"/>
                <w:b w:val="0"/>
              </w:rPr>
              <w:t>Sample</w:t>
            </w:r>
          </w:p>
        </w:tc>
      </w:tr>
      <w:tr w:rsidR="00CD0D92" w:rsidRPr="002D406D" w:rsidTr="00DA4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vMerge w:val="restart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M-1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0.875</w:t>
            </w:r>
            <w:r>
              <w:t xml:space="preserve"> g</w:t>
            </w:r>
          </w:p>
        </w:tc>
        <w:tc>
          <w:tcPr>
            <w:tcW w:w="1290" w:type="dxa"/>
            <w:vMerge w:val="restart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0.35 g</w:t>
            </w:r>
          </w:p>
        </w:tc>
        <w:tc>
          <w:tcPr>
            <w:tcW w:w="1101" w:type="dxa"/>
            <w:vMerge w:val="restart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858" w:type="dxa"/>
            <w:vMerge w:val="restart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70 mL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3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TN-MO-SS</w:t>
            </w:r>
          </w:p>
        </w:tc>
      </w:tr>
      <w:tr w:rsidR="00CD0D92" w:rsidRPr="00C20F02" w:rsidTr="00DA4E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rPr>
                <w:b w:val="0"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90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01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8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12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TN-MO-S</w:t>
            </w:r>
          </w:p>
        </w:tc>
      </w:tr>
      <w:tr w:rsidR="00CD0D92" w:rsidRPr="00C20F02" w:rsidTr="00DA4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rPr>
                <w:b w:val="0"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90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01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8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18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TN-MO-SR</w:t>
            </w:r>
          </w:p>
        </w:tc>
      </w:tr>
      <w:tr w:rsidR="00CD0D92" w:rsidRPr="002D406D" w:rsidTr="00DA4E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M-2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1.106</w:t>
            </w:r>
            <w:r>
              <w:t xml:space="preserve"> g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0.88 mL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70 mL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6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TN-MO-RS</w:t>
            </w:r>
          </w:p>
        </w:tc>
      </w:tr>
      <w:tr w:rsidR="00CD0D92" w:rsidRPr="002D406D" w:rsidTr="00DA4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M-3</w:t>
            </w:r>
          </w:p>
        </w:tc>
        <w:tc>
          <w:tcPr>
            <w:tcW w:w="959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0.7875</w:t>
            </w:r>
            <w:r>
              <w:t xml:space="preserve"> g</w:t>
            </w:r>
          </w:p>
        </w:tc>
        <w:tc>
          <w:tcPr>
            <w:tcW w:w="1290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1.75 mL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CD0D92" w:rsidRPr="002D406D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70 mL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12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CD0D92" w:rsidRPr="00C20F02" w:rsidRDefault="00CD0D92" w:rsidP="00DA4E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TN-MO-R</w:t>
            </w:r>
          </w:p>
        </w:tc>
      </w:tr>
    </w:tbl>
    <w:p w:rsidR="00CD0D92" w:rsidRDefault="00CD0D92" w:rsidP="00CD0D92">
      <w:pPr>
        <w:spacing w:line="360" w:lineRule="auto"/>
        <w:ind w:firstLineChars="200" w:firstLine="420"/>
        <w:rPr>
          <w:i/>
          <w:lang w:val="en-GB"/>
        </w:rPr>
      </w:pPr>
    </w:p>
    <w:p w:rsidR="00B9623A" w:rsidRDefault="00CD0D92" w:rsidP="00B9623A">
      <w:pPr>
        <w:spacing w:line="360" w:lineRule="auto"/>
        <w:ind w:firstLineChars="200" w:firstLine="420"/>
        <w:rPr>
          <w:bCs/>
          <w:lang w:val="de-DE"/>
        </w:rPr>
      </w:pPr>
      <w:r w:rsidRPr="002229FC">
        <w:rPr>
          <w:rFonts w:hint="eastAsia"/>
          <w:i/>
          <w:lang w:val="en-GB"/>
        </w:rPr>
        <w:t>Characterization</w:t>
      </w:r>
      <w:r w:rsidRPr="002229FC">
        <w:t xml:space="preserve">: </w:t>
      </w:r>
      <w:r w:rsidRPr="005F335E">
        <w:rPr>
          <w:rFonts w:hint="eastAsia"/>
          <w:bCs/>
          <w:lang w:val="de-DE"/>
        </w:rPr>
        <w:t>The crystalline phase compositions of the samples were measured by a Rigaku D/Max 2550VB3+/PC X-ray diffractometer (XRD) equipped with graphite monochromatized Cu K</w:t>
      </w:r>
      <w:r w:rsidRPr="005F335E">
        <w:rPr>
          <w:bCs/>
          <w:lang w:val="de-DE"/>
        </w:rPr>
        <w:t>α</w:t>
      </w:r>
      <w:r w:rsidRPr="005F335E">
        <w:rPr>
          <w:rFonts w:hint="eastAsia"/>
          <w:bCs/>
          <w:lang w:val="de-DE"/>
        </w:rPr>
        <w:t xml:space="preserve"> radiation (</w:t>
      </w:r>
      <w:r w:rsidRPr="005F335E">
        <w:rPr>
          <w:bCs/>
          <w:lang w:val="de-DE"/>
        </w:rPr>
        <w:t>λ</w:t>
      </w:r>
      <w:r w:rsidRPr="005F335E">
        <w:rPr>
          <w:rFonts w:hint="eastAsia"/>
          <w:bCs/>
          <w:lang w:val="de-DE"/>
        </w:rPr>
        <w:t xml:space="preserve"> = 0.15405 nm). Nanostructures and elemental distributions of the samples were characterized by a Schottky field emission scanning electron microscopy (FESEM, </w:t>
      </w:r>
      <w:bookmarkStart w:id="1" w:name="OLE_LINK3"/>
      <w:bookmarkStart w:id="2" w:name="OLE_LINK4"/>
      <w:r w:rsidRPr="005F335E">
        <w:rPr>
          <w:rFonts w:hint="eastAsia"/>
          <w:bCs/>
          <w:lang w:val="de-DE"/>
        </w:rPr>
        <w:t>FEI Nova NanoSEM 450</w:t>
      </w:r>
      <w:bookmarkEnd w:id="1"/>
      <w:bookmarkEnd w:id="2"/>
      <w:r w:rsidRPr="005F335E">
        <w:rPr>
          <w:rFonts w:hint="eastAsia"/>
          <w:bCs/>
          <w:lang w:val="de-DE"/>
        </w:rPr>
        <w:t>) equipped with energy dispersive spectroscope (EDS, EDAX)</w:t>
      </w:r>
      <w:r>
        <w:rPr>
          <w:bCs/>
          <w:lang w:val="de-DE"/>
        </w:rPr>
        <w:t>.</w:t>
      </w:r>
    </w:p>
    <w:p w:rsidR="00CD0D92" w:rsidRPr="00B9623A" w:rsidRDefault="00CD0D92" w:rsidP="00B9623A">
      <w:pPr>
        <w:spacing w:line="360" w:lineRule="auto"/>
        <w:ind w:firstLineChars="200" w:firstLine="420"/>
        <w:rPr>
          <w:bCs/>
          <w:lang w:val="de-DE"/>
        </w:rPr>
      </w:pPr>
      <w:r w:rsidRPr="002229FC">
        <w:rPr>
          <w:bCs/>
          <w:i/>
          <w:lang w:val="de-DE"/>
        </w:rPr>
        <w:t>Electrochemical performance measurement</w:t>
      </w:r>
      <w:r>
        <w:rPr>
          <w:bCs/>
          <w:lang w:val="de-DE"/>
        </w:rPr>
        <w:t xml:space="preserve">: </w:t>
      </w:r>
      <w:r>
        <w:t>Electrochemical measurements were carried out with CHI660E electrochemical three-electrode system in 2 mol L</w:t>
      </w:r>
      <w:r w:rsidRPr="002229FC">
        <w:rPr>
          <w:vertAlign w:val="superscript"/>
        </w:rPr>
        <w:t>-1</w:t>
      </w:r>
      <w:r>
        <w:t xml:space="preserve"> KCl solution, where the samples acted as the working electrode, Pt foil acted as the counter electrode, and Ag/AgCl electrode acted as the reference electrode. Cyclic voltammetry (CV) curves were obtained in a voltage range from -0.2 V to 0.8 V at different scan rates of 5, 10, 20, 40, 60, 80 and 100 mV s</w:t>
      </w:r>
      <w:r w:rsidRPr="005F335E">
        <w:rPr>
          <w:vertAlign w:val="superscript"/>
        </w:rPr>
        <w:t>-1</w:t>
      </w:r>
      <w:r>
        <w:t>, respectively. Galvanostatic charge/discharge curves were recorded in a potential window from -0.2 V to 0.8 V at a series of current densities. The electrochemical impedance spectroscopy (EIS) was conducted in the frequency from 100 kHz to 10 mHz at an open-circuit potential vibration of 5 mV.</w:t>
      </w:r>
    </w:p>
    <w:p w:rsidR="00CD0D92" w:rsidRPr="00B458DB" w:rsidRDefault="00CD0D92" w:rsidP="00CD0D92">
      <w:pPr>
        <w:spacing w:line="360" w:lineRule="auto"/>
        <w:rPr>
          <w:lang w:val="de-DE"/>
        </w:rPr>
      </w:pPr>
    </w:p>
    <w:p w:rsidR="00CD0D92" w:rsidRDefault="00CD0D92" w:rsidP="00CD0D9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0484B00" wp14:editId="1071FA92">
            <wp:extent cx="5278120" cy="25304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晶体生长机理图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92" w:rsidRDefault="00CD0D92" w:rsidP="00CD0D92">
      <w:pPr>
        <w:spacing w:line="360" w:lineRule="auto"/>
      </w:pPr>
      <w:r>
        <w:t>Figure S1. Schematic diagrams of MnO</w:t>
      </w:r>
      <w:r w:rsidRPr="005C6FB4">
        <w:rPr>
          <w:vertAlign w:val="subscript"/>
        </w:rPr>
        <w:t>2</w:t>
      </w:r>
      <w:r>
        <w:t xml:space="preserve"> nanostructure growth process.</w:t>
      </w:r>
    </w:p>
    <w:p w:rsidR="008F4A5B" w:rsidRDefault="008F4A5B"/>
    <w:p w:rsidR="00CD0D92" w:rsidRDefault="00CD0D92" w:rsidP="00CD0D92">
      <w:pPr>
        <w:spacing w:line="360" w:lineRule="auto"/>
        <w:jc w:val="center"/>
      </w:pPr>
      <w:r w:rsidRPr="000E7367">
        <w:rPr>
          <w:rFonts w:hAnsi="宋体"/>
          <w:noProof/>
          <w:sz w:val="24"/>
        </w:rPr>
        <w:drawing>
          <wp:inline distT="0" distB="0" distL="0" distR="0" wp14:anchorId="0653C27C" wp14:editId="5658B51C">
            <wp:extent cx="5278120" cy="25323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晶体结构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92" w:rsidRDefault="00CD0D92" w:rsidP="00CD0D92">
      <w:pPr>
        <w:spacing w:line="360" w:lineRule="auto"/>
      </w:pPr>
      <w:r>
        <w:t>Figure S2. Schematic diagrams of δ-MnO</w:t>
      </w:r>
      <w:r w:rsidRPr="005C6FB4">
        <w:rPr>
          <w:vertAlign w:val="subscript"/>
        </w:rPr>
        <w:t>2</w:t>
      </w:r>
      <w:r>
        <w:t xml:space="preserve"> and α-MnO</w:t>
      </w:r>
      <w:r w:rsidRPr="005C6FB4">
        <w:rPr>
          <w:vertAlign w:val="subscript"/>
        </w:rPr>
        <w:t>2</w:t>
      </w:r>
      <w:r>
        <w:t xml:space="preserve"> crystal structure.</w:t>
      </w:r>
    </w:p>
    <w:p w:rsidR="00CD0D92" w:rsidRDefault="00CD0D92"/>
    <w:p w:rsidR="00B9623A" w:rsidRPr="00B9623A" w:rsidRDefault="00B9623A" w:rsidP="00B9623A">
      <w:r w:rsidRPr="00B9623A">
        <w:rPr>
          <w:noProof/>
        </w:rPr>
        <w:lastRenderedPageBreak/>
        <w:drawing>
          <wp:inline distT="0" distB="0" distL="0" distR="0" wp14:anchorId="6D7F9EDD" wp14:editId="53FE71E8">
            <wp:extent cx="5278120" cy="7001510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N-MO-S-50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3A" w:rsidRPr="00B9623A" w:rsidRDefault="00B9623A" w:rsidP="00B9623A">
      <w:r>
        <w:rPr>
          <w:rFonts w:hint="eastAsia"/>
        </w:rPr>
        <w:t xml:space="preserve">Figure </w:t>
      </w:r>
      <w:r>
        <w:t>S3</w:t>
      </w:r>
      <w:r w:rsidRPr="00B9623A">
        <w:rPr>
          <w:rFonts w:hint="eastAsia"/>
        </w:rPr>
        <w:t xml:space="preserve">. </w:t>
      </w:r>
      <w:r w:rsidRPr="00B9623A">
        <w:t>XRD pattern (a) and SEM images (b-e) of TN-MO-S-500.</w:t>
      </w:r>
    </w:p>
    <w:p w:rsidR="00B9623A" w:rsidRPr="00B9623A" w:rsidRDefault="00B9623A"/>
    <w:sectPr w:rsidR="00B9623A" w:rsidRPr="00B9623A" w:rsidSect="00D7349B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777" w:rsidRDefault="00FF1777" w:rsidP="00B9623A">
      <w:r>
        <w:separator/>
      </w:r>
    </w:p>
  </w:endnote>
  <w:endnote w:type="continuationSeparator" w:id="0">
    <w:p w:rsidR="00FF1777" w:rsidRDefault="00FF1777" w:rsidP="00B96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777" w:rsidRDefault="00FF1777" w:rsidP="00B9623A">
      <w:r>
        <w:separator/>
      </w:r>
    </w:p>
  </w:footnote>
  <w:footnote w:type="continuationSeparator" w:id="0">
    <w:p w:rsidR="00FF1777" w:rsidRDefault="00FF1777" w:rsidP="00B96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D0365"/>
    <w:multiLevelType w:val="hybridMultilevel"/>
    <w:tmpl w:val="6D7ED91C"/>
    <w:lvl w:ilvl="0" w:tplc="7C16C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D92"/>
    <w:rsid w:val="000F662D"/>
    <w:rsid w:val="002A17D0"/>
    <w:rsid w:val="00555BA0"/>
    <w:rsid w:val="008F4A5B"/>
    <w:rsid w:val="00964FC2"/>
    <w:rsid w:val="00B9623A"/>
    <w:rsid w:val="00CD0D92"/>
    <w:rsid w:val="00D7349B"/>
    <w:rsid w:val="00FF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A02C5F-DA31-4D41-8A7C-BAB50EB74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D9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FTitleRunningHead">
    <w:name w:val="AF_Title_Running_Head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AIReceivedDate">
    <w:name w:val="AI_Received_Date"/>
    <w:basedOn w:val="a"/>
    <w:next w:val="a"/>
    <w:rsid w:val="00555BA0"/>
    <w:pPr>
      <w:widowControl/>
      <w:spacing w:after="240" w:line="480" w:lineRule="auto"/>
    </w:pPr>
    <w:rPr>
      <w:rFonts w:ascii="Times" w:eastAsiaTheme="minorEastAsia" w:hAnsi="Times"/>
      <w:b/>
      <w:kern w:val="0"/>
      <w:sz w:val="24"/>
      <w:szCs w:val="20"/>
      <w:lang w:eastAsia="en-US"/>
    </w:rPr>
  </w:style>
  <w:style w:type="paragraph" w:customStyle="1" w:styleId="BATitle">
    <w:name w:val="BA_Title"/>
    <w:basedOn w:val="a"/>
    <w:next w:val="a"/>
    <w:rsid w:val="00555BA0"/>
    <w:pPr>
      <w:widowControl/>
      <w:spacing w:before="720" w:after="360" w:line="480" w:lineRule="auto"/>
      <w:jc w:val="center"/>
    </w:pPr>
    <w:rPr>
      <w:rFonts w:eastAsiaTheme="minorEastAsia"/>
      <w:kern w:val="0"/>
      <w:sz w:val="44"/>
      <w:szCs w:val="20"/>
      <w:lang w:eastAsia="en-US"/>
    </w:rPr>
  </w:style>
  <w:style w:type="paragraph" w:customStyle="1" w:styleId="BBAuthorName">
    <w:name w:val="BB_Author_Name"/>
    <w:basedOn w:val="a"/>
    <w:next w:val="a"/>
    <w:rsid w:val="00555BA0"/>
    <w:pPr>
      <w:widowControl/>
      <w:spacing w:after="240" w:line="480" w:lineRule="auto"/>
      <w:jc w:val="center"/>
    </w:pPr>
    <w:rPr>
      <w:rFonts w:ascii="Times" w:eastAsiaTheme="minorEastAsia" w:hAnsi="Times"/>
      <w:i/>
      <w:kern w:val="0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555BA0"/>
    <w:pPr>
      <w:widowControl/>
      <w:spacing w:after="240" w:line="480" w:lineRule="auto"/>
      <w:jc w:val="center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BDAbstract">
    <w:name w:val="BD_Abstract"/>
    <w:basedOn w:val="a"/>
    <w:next w:val="a"/>
    <w:rsid w:val="00555BA0"/>
    <w:pPr>
      <w:widowControl/>
      <w:spacing w:before="360" w:after="36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BEAuthorBiography">
    <w:name w:val="BE_Author_Biography"/>
    <w:basedOn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BGKeywords">
    <w:name w:val="BG_Keywords"/>
    <w:basedOn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BHBriefs">
    <w:name w:val="BH_Briefs"/>
    <w:basedOn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BIEmailAddress">
    <w:name w:val="BI_Email_Address"/>
    <w:basedOn w:val="a"/>
    <w:next w:val="AIReceivedDate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Default">
    <w:name w:val="Default"/>
    <w:rsid w:val="00555BA0"/>
    <w:pPr>
      <w:autoSpaceDE w:val="0"/>
      <w:autoSpaceDN w:val="0"/>
      <w:adjustRightInd w:val="0"/>
    </w:pPr>
    <w:rPr>
      <w:rFonts w:ascii="Symbol" w:eastAsiaTheme="minorEastAsia" w:hAnsi="Symbol" w:cs="Symbol"/>
      <w:color w:val="000000"/>
      <w:sz w:val="24"/>
      <w:szCs w:val="24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555BA0"/>
    <w:pPr>
      <w:widowControl/>
      <w:spacing w:before="120" w:after="60" w:line="480" w:lineRule="auto"/>
      <w:jc w:val="left"/>
    </w:pPr>
    <w:rPr>
      <w:rFonts w:ascii="Times" w:eastAsiaTheme="minorEastAsia" w:hAnsi="Times"/>
      <w:b/>
      <w:kern w:val="0"/>
      <w:sz w:val="24"/>
      <w:szCs w:val="20"/>
      <w:lang w:eastAsia="en-US"/>
    </w:rPr>
  </w:style>
  <w:style w:type="character" w:customStyle="1" w:styleId="FAAuthorInfoSubtitleChar">
    <w:name w:val="FA_Author_Info_Subtitle Char"/>
    <w:link w:val="FAAuthorInfoSubtitle"/>
    <w:rsid w:val="00555BA0"/>
    <w:rPr>
      <w:rFonts w:ascii="Times" w:eastAsiaTheme="minorEastAsia" w:hAnsi="Times"/>
      <w:b/>
      <w:sz w:val="24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FCChartFootnote">
    <w:name w:val="FC_Chart_Footnote"/>
    <w:basedOn w:val="a"/>
    <w:next w:val="a"/>
    <w:rsid w:val="00555BA0"/>
    <w:pPr>
      <w:widowControl/>
      <w:spacing w:after="200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FDSchemeFootnote">
    <w:name w:val="FD_Scheme_Footnote"/>
    <w:basedOn w:val="a"/>
    <w:next w:val="a"/>
    <w:rsid w:val="00555BA0"/>
    <w:pPr>
      <w:widowControl/>
      <w:spacing w:after="200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"/>
    <w:next w:val="a"/>
    <w:rsid w:val="00555BA0"/>
    <w:pPr>
      <w:widowControl/>
      <w:spacing w:after="200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SNSynopsisTOC">
    <w:name w:val="SN_Synopsis_TOC"/>
    <w:basedOn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555BA0"/>
    <w:pPr>
      <w:widowControl/>
      <w:jc w:val="left"/>
    </w:pPr>
    <w:rPr>
      <w:rFonts w:ascii="Arno Pro" w:eastAsiaTheme="minorEastAsia" w:hAnsi="Arno Pro"/>
      <w:kern w:val="20"/>
      <w:sz w:val="18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555BA0"/>
    <w:rPr>
      <w:rFonts w:ascii="Arno Pro" w:eastAsiaTheme="minorEastAsia" w:hAnsi="Arno Pro"/>
      <w:kern w:val="20"/>
      <w:sz w:val="18"/>
      <w:lang w:eastAsia="en-US"/>
    </w:rPr>
  </w:style>
  <w:style w:type="paragraph" w:customStyle="1" w:styleId="TAMainText">
    <w:name w:val="TA_Main_Text"/>
    <w:basedOn w:val="a"/>
    <w:rsid w:val="00555BA0"/>
    <w:pPr>
      <w:widowControl/>
      <w:spacing w:line="480" w:lineRule="auto"/>
      <w:ind w:firstLine="202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CTableBody">
    <w:name w:val="TC_Table_Body"/>
    <w:basedOn w:val="a"/>
    <w:rsid w:val="00555BA0"/>
    <w:pPr>
      <w:widowControl/>
      <w:spacing w:after="200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DAcknowledgments">
    <w:name w:val="TD_Acknowledgments"/>
    <w:basedOn w:val="a"/>
    <w:next w:val="a"/>
    <w:rsid w:val="00555BA0"/>
    <w:pPr>
      <w:widowControl/>
      <w:spacing w:before="200" w:after="200" w:line="480" w:lineRule="auto"/>
      <w:ind w:firstLine="202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ESupportingInformation">
    <w:name w:val="TE_Supporting_Information"/>
    <w:basedOn w:val="a"/>
    <w:next w:val="a"/>
    <w:rsid w:val="00555BA0"/>
    <w:pPr>
      <w:widowControl/>
      <w:spacing w:after="200" w:line="480" w:lineRule="auto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TFReferencesSection">
    <w:name w:val="TF_References_Section"/>
    <w:basedOn w:val="a"/>
    <w:rsid w:val="00555BA0"/>
    <w:pPr>
      <w:widowControl/>
      <w:spacing w:after="200" w:line="480" w:lineRule="auto"/>
      <w:ind w:firstLine="187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VAFigureCaption">
    <w:name w:val="VA_Figure_Caption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VBChartTitle">
    <w:name w:val="VB_Chart_Title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VCSchemeTitle">
    <w:name w:val="VC_Scheme_Title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a"/>
    <w:next w:val="a"/>
    <w:rsid w:val="00555BA0"/>
    <w:pPr>
      <w:widowControl/>
      <w:spacing w:after="200" w:line="480" w:lineRule="auto"/>
    </w:pPr>
    <w:rPr>
      <w:rFonts w:ascii="Times" w:eastAsiaTheme="minorEastAsia" w:hAnsi="Times"/>
      <w:kern w:val="0"/>
      <w:sz w:val="24"/>
      <w:szCs w:val="20"/>
      <w:lang w:eastAsia="en-US"/>
    </w:rPr>
  </w:style>
  <w:style w:type="character" w:styleId="a3">
    <w:name w:val="Hyperlink"/>
    <w:basedOn w:val="a0"/>
    <w:rsid w:val="00CD0D92"/>
    <w:rPr>
      <w:color w:val="0563C1" w:themeColor="hyperlink"/>
      <w:u w:val="single"/>
    </w:rPr>
  </w:style>
  <w:style w:type="table" w:styleId="6">
    <w:name w:val="List Table 6 Colorful"/>
    <w:basedOn w:val="a1"/>
    <w:uiPriority w:val="51"/>
    <w:rsid w:val="00CD0D9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a4">
    <w:name w:val="List Paragraph"/>
    <w:basedOn w:val="a"/>
    <w:uiPriority w:val="34"/>
    <w:qFormat/>
    <w:rsid w:val="00CD0D92"/>
    <w:pPr>
      <w:ind w:firstLineChars="200" w:firstLine="420"/>
    </w:pPr>
  </w:style>
  <w:style w:type="paragraph" w:styleId="a5">
    <w:name w:val="header"/>
    <w:basedOn w:val="a"/>
    <w:link w:val="a6"/>
    <w:rsid w:val="00B962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9623A"/>
    <w:rPr>
      <w:kern w:val="2"/>
      <w:sz w:val="18"/>
      <w:szCs w:val="18"/>
    </w:rPr>
  </w:style>
  <w:style w:type="paragraph" w:styleId="a7">
    <w:name w:val="footer"/>
    <w:basedOn w:val="a"/>
    <w:link w:val="a8"/>
    <w:rsid w:val="00B962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B9623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6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622</Words>
  <Characters>3550</Characters>
  <Application>Microsoft Office Word</Application>
  <DocSecurity>0</DocSecurity>
  <Lines>29</Lines>
  <Paragraphs>8</Paragraphs>
  <ScaleCrop>false</ScaleCrop>
  <Company> </Company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任鹏</dc:creator>
  <cp:keywords/>
  <dc:description/>
  <cp:lastModifiedBy>jack</cp:lastModifiedBy>
  <cp:revision>3</cp:revision>
  <dcterms:created xsi:type="dcterms:W3CDTF">2021-03-10T05:33:00Z</dcterms:created>
  <dcterms:modified xsi:type="dcterms:W3CDTF">2021-09-04T01:59:00Z</dcterms:modified>
</cp:coreProperties>
</file>