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4A03" w14:textId="77777777" w:rsidR="00281E05" w:rsidRDefault="00281E05" w:rsidP="00281E05">
      <w:pPr>
        <w:rPr>
          <w:rFonts w:ascii="Times New Roman" w:hAnsi="Times New Roman" w:cs="Times New Roman"/>
          <w:b/>
          <w:bCs/>
        </w:rPr>
      </w:pPr>
      <w:r w:rsidRPr="00DA6BBA">
        <w:rPr>
          <w:rFonts w:ascii="Times New Roman" w:hAnsi="Times New Roman" w:cs="Times New Roman"/>
          <w:b/>
          <w:bCs/>
        </w:rPr>
        <w:t xml:space="preserve">Supplementary material </w:t>
      </w:r>
    </w:p>
    <w:p w14:paraId="715F4EEC" w14:textId="77777777" w:rsidR="00281E05" w:rsidRDefault="00281E05" w:rsidP="00281E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Methods-Statistical Analyses</w:t>
      </w:r>
    </w:p>
    <w:p w14:paraId="70639B0F" w14:textId="77777777" w:rsidR="00281E05" w:rsidRPr="005841BF" w:rsidRDefault="00281E05" w:rsidP="00281E0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>S</w:t>
      </w:r>
      <w:r w:rsidRPr="005841BF">
        <w:rPr>
          <w:rFonts w:ascii="Times New Roman" w:eastAsia="Times New Roman" w:hAnsi="Times New Roman" w:cs="Times New Roman"/>
          <w:color w:val="000000"/>
          <w:lang w:eastAsia="it-IT"/>
        </w:rPr>
        <w:t xml:space="preserve">ingle imputation procedure using truncated regression adjusted for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sex</w:t>
      </w:r>
      <w:r w:rsidRPr="005841BF">
        <w:rPr>
          <w:rFonts w:ascii="Times New Roman" w:eastAsia="Times New Roman" w:hAnsi="Times New Roman" w:cs="Times New Roman"/>
          <w:color w:val="000000"/>
          <w:lang w:eastAsia="it-IT"/>
        </w:rPr>
        <w:t>, age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5841BF">
        <w:rPr>
          <w:rFonts w:ascii="Times New Roman" w:eastAsia="Times New Roman" w:hAnsi="Times New Roman" w:cs="Times New Roman"/>
          <w:color w:val="000000"/>
          <w:lang w:eastAsia="it-IT"/>
        </w:rPr>
        <w:t xml:space="preserve"> and comorbidit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ies</w:t>
      </w:r>
      <w:r w:rsidRPr="000D08B8">
        <w:rPr>
          <w:rFonts w:ascii="Times New Roman" w:hAnsi="Times New Roman" w:cs="Times New Roman"/>
        </w:rPr>
        <w:t xml:space="preserve"> </w:t>
      </w:r>
      <w:r w:rsidRPr="009C1638">
        <w:rPr>
          <w:rFonts w:ascii="Times New Roman" w:hAnsi="Times New Roman" w:cs="Times New Roman"/>
        </w:rPr>
        <w:t>was used</w:t>
      </w:r>
      <w:r>
        <w:rPr>
          <w:rFonts w:ascii="Times New Roman" w:hAnsi="Times New Roman" w:cs="Times New Roman"/>
        </w:rPr>
        <w:t xml:space="preserve"> to deal with the problem of missing values</w:t>
      </w:r>
      <w:r w:rsidRPr="009C163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total </w:t>
      </w:r>
      <w:r w:rsidRPr="009C1638">
        <w:rPr>
          <w:rFonts w:ascii="Times New Roman" w:hAnsi="Times New Roman" w:cs="Times New Roman"/>
        </w:rPr>
        <w:t>cholesterol, LDL, HDL, triglycerides, neutrophi</w:t>
      </w:r>
      <w:r>
        <w:rPr>
          <w:rFonts w:ascii="Times New Roman" w:hAnsi="Times New Roman" w:cs="Times New Roman"/>
        </w:rPr>
        <w:t>ls</w:t>
      </w:r>
      <w:r w:rsidRPr="009C16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Pr="009C1638">
        <w:rPr>
          <w:rFonts w:ascii="Times New Roman" w:hAnsi="Times New Roman" w:cs="Times New Roman"/>
        </w:rPr>
        <w:t>O2</w:t>
      </w:r>
      <w:r>
        <w:rPr>
          <w:rFonts w:ascii="Times New Roman" w:hAnsi="Times New Roman" w:cs="Times New Roman"/>
        </w:rPr>
        <w:t>,</w:t>
      </w:r>
      <w:r w:rsidRPr="009C1638">
        <w:rPr>
          <w:rFonts w:ascii="Times New Roman" w:hAnsi="Times New Roman" w:cs="Times New Roman"/>
        </w:rPr>
        <w:t xml:space="preserve"> and LDH (proportion of missing values of 39%, 60%, 38%, 41%, 17%, 15%</w:t>
      </w:r>
      <w:r>
        <w:rPr>
          <w:rFonts w:ascii="Times New Roman" w:hAnsi="Times New Roman" w:cs="Times New Roman"/>
        </w:rPr>
        <w:t>,</w:t>
      </w:r>
      <w:r w:rsidRPr="009C1638">
        <w:rPr>
          <w:rFonts w:ascii="Times New Roman" w:hAnsi="Times New Roman" w:cs="Times New Roman"/>
        </w:rPr>
        <w:t xml:space="preserve"> and 24%</w:t>
      </w:r>
      <w:r>
        <w:rPr>
          <w:rFonts w:ascii="Times New Roman" w:hAnsi="Times New Roman" w:cs="Times New Roman"/>
        </w:rPr>
        <w:t>,</w:t>
      </w:r>
      <w:r w:rsidRPr="009C1638">
        <w:rPr>
          <w:rFonts w:ascii="Times New Roman" w:hAnsi="Times New Roman" w:cs="Times New Roman"/>
        </w:rPr>
        <w:t xml:space="preserve"> respectively)</w:t>
      </w:r>
      <w:r w:rsidRPr="005841BF">
        <w:rPr>
          <w:rFonts w:ascii="Times New Roman" w:eastAsia="Times New Roman" w:hAnsi="Times New Roman" w:cs="Times New Roman"/>
          <w:color w:val="000000"/>
          <w:lang w:eastAsia="it-IT"/>
        </w:rPr>
        <w:t>. Missing values were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replaced by </w:t>
      </w:r>
      <w:r w:rsidRPr="005841BF">
        <w:rPr>
          <w:rFonts w:ascii="Times New Roman" w:eastAsia="Times New Roman" w:hAnsi="Times New Roman" w:cs="Times New Roman"/>
          <w:color w:val="000000"/>
          <w:lang w:eastAsia="it-IT"/>
        </w:rPr>
        <w:t>the mean value of the imputations</w:t>
      </w:r>
      <w:r w:rsidRPr="009C1638">
        <w:rPr>
          <w:rFonts w:ascii="Times New Roman" w:hAnsi="Times New Roman" w:cs="Times New Roman"/>
        </w:rPr>
        <w:t xml:space="preserve">. </w:t>
      </w:r>
    </w:p>
    <w:p w14:paraId="38407ADF" w14:textId="77777777" w:rsidR="00281E05" w:rsidRPr="00DA6BBA" w:rsidRDefault="00281E05" w:rsidP="00281E05">
      <w:pPr>
        <w:rPr>
          <w:rFonts w:ascii="Times New Roman" w:hAnsi="Times New Roman" w:cs="Times New Roman"/>
          <w:b/>
          <w:bCs/>
        </w:rPr>
      </w:pPr>
    </w:p>
    <w:p w14:paraId="1CB6908F" w14:textId="77777777" w:rsidR="00281E05" w:rsidRDefault="00281E05" w:rsidP="00281E05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2D485BC" w14:textId="77777777" w:rsidR="00281E05" w:rsidRPr="00DA6BBA" w:rsidRDefault="00281E05" w:rsidP="00281E05">
      <w:pPr>
        <w:rPr>
          <w:rFonts w:ascii="Times New Roman" w:hAnsi="Times New Roman" w:cs="Times New Roman"/>
        </w:rPr>
      </w:pPr>
      <w:r w:rsidRPr="00EE59CE">
        <w:rPr>
          <w:rFonts w:ascii="Times New Roman" w:hAnsi="Times New Roman" w:cs="Times New Roman"/>
          <w:b/>
          <w:bCs/>
        </w:rPr>
        <w:lastRenderedPageBreak/>
        <w:t>Supplementary Table 1.</w:t>
      </w:r>
      <w:r w:rsidRPr="00DA6BBA">
        <w:rPr>
          <w:rFonts w:ascii="Times New Roman" w:hAnsi="Times New Roman" w:cs="Times New Roman"/>
        </w:rPr>
        <w:t xml:space="preserve"> </w:t>
      </w:r>
      <w:r w:rsidRPr="00DF6315">
        <w:rPr>
          <w:rFonts w:ascii="Times New Roman" w:hAnsi="Times New Roman" w:cs="Times New Roman"/>
        </w:rPr>
        <w:t xml:space="preserve">CT </w:t>
      </w:r>
      <w:r>
        <w:rPr>
          <w:rFonts w:ascii="Times New Roman" w:hAnsi="Times New Roman" w:cs="Times New Roman"/>
        </w:rPr>
        <w:t xml:space="preserve">disease </w:t>
      </w:r>
      <w:r w:rsidRPr="00DF6315">
        <w:rPr>
          <w:rFonts w:ascii="Times New Roman" w:hAnsi="Times New Roman" w:cs="Times New Roman"/>
        </w:rPr>
        <w:t>extension</w:t>
      </w:r>
      <w:r w:rsidRPr="00DA6BBA">
        <w:rPr>
          <w:rFonts w:ascii="Times New Roman" w:hAnsi="Times New Roman" w:cs="Times New Roman"/>
        </w:rPr>
        <w:t xml:space="preserve"> assessments by the two readers and weighted interrater agreement.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589"/>
        <w:gridCol w:w="1589"/>
        <w:gridCol w:w="1580"/>
        <w:gridCol w:w="1596"/>
      </w:tblGrid>
      <w:tr w:rsidR="00281E05" w:rsidRPr="00DA6BBA" w14:paraId="29CBC0B0" w14:textId="77777777" w:rsidTr="00BE7D14"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</w:tcPr>
          <w:p w14:paraId="4E1B3139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3C2CD4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disease </w:t>
            </w:r>
            <w:r w:rsidRPr="00D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second reader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139081AF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1E05" w:rsidRPr="00DA6BBA" w14:paraId="1FDA5FA0" w14:textId="77777777" w:rsidTr="00BE7D14"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</w:tcPr>
          <w:p w14:paraId="08ABD690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5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  <w:r w:rsidRPr="00DF6315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first reader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</w:tcPr>
          <w:p w14:paraId="435315C0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5762C82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01965531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</w:tcPr>
          <w:p w14:paraId="7F4EE3BB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</w:tcPr>
          <w:p w14:paraId="10838036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Tot</w:t>
            </w:r>
          </w:p>
        </w:tc>
      </w:tr>
      <w:tr w:rsidR="00281E05" w:rsidRPr="00DA6BBA" w14:paraId="0ECBD34F" w14:textId="77777777" w:rsidTr="00BE7D14">
        <w:tc>
          <w:tcPr>
            <w:tcW w:w="1642" w:type="dxa"/>
            <w:tcBorders>
              <w:right w:val="single" w:sz="4" w:space="0" w:color="auto"/>
            </w:tcBorders>
          </w:tcPr>
          <w:p w14:paraId="179345F5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</w:tcPr>
          <w:p w14:paraId="07EF90C3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C914AA1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CE8C866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</w:tcPr>
          <w:p w14:paraId="495CB697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14:paraId="04D587EA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81E05" w:rsidRPr="00DA6BBA" w14:paraId="03CEE9A9" w14:textId="77777777" w:rsidTr="00BE7D14">
        <w:tc>
          <w:tcPr>
            <w:tcW w:w="1642" w:type="dxa"/>
            <w:tcBorders>
              <w:right w:val="single" w:sz="4" w:space="0" w:color="auto"/>
            </w:tcBorders>
          </w:tcPr>
          <w:p w14:paraId="3C763320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14:paraId="1D9419A9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55A9235D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</w:tcPr>
          <w:p w14:paraId="54BE7EC0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14:paraId="2B116F08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56DD533B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281E05" w:rsidRPr="00DA6BBA" w14:paraId="5DDA3B4E" w14:textId="77777777" w:rsidTr="00BE7D14">
        <w:tc>
          <w:tcPr>
            <w:tcW w:w="1642" w:type="dxa"/>
            <w:tcBorders>
              <w:right w:val="single" w:sz="4" w:space="0" w:color="auto"/>
            </w:tcBorders>
          </w:tcPr>
          <w:p w14:paraId="33E6A919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14:paraId="32F20078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908D403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32BA3774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14:paraId="2CEE381B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49EB2AEA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281E05" w:rsidRPr="00DA6BBA" w14:paraId="284A8092" w14:textId="77777777" w:rsidTr="00BE7D14"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</w:tcPr>
          <w:p w14:paraId="1822198C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</w:tcPr>
          <w:p w14:paraId="6F3ACD26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DDD1AF9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6609926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</w:tcPr>
          <w:p w14:paraId="22E026B7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</w:tcPr>
          <w:p w14:paraId="0C3A0124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81E05" w:rsidRPr="00DA6BBA" w14:paraId="4152EFC0" w14:textId="77777777" w:rsidTr="00BE7D14"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</w:tcPr>
          <w:p w14:paraId="4D33273F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i/>
                <w:sz w:val="24"/>
                <w:szCs w:val="24"/>
              </w:rPr>
              <w:t>Tot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</w:tcPr>
          <w:p w14:paraId="3E757D4B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C54852E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18614DF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</w:tcPr>
          <w:p w14:paraId="5FDB7CB6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14:paraId="024C39D2" w14:textId="77777777" w:rsidR="00281E05" w:rsidRPr="00DA6BBA" w:rsidRDefault="00281E05" w:rsidP="00B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47704" w14:textId="77777777" w:rsidR="00281E05" w:rsidRPr="00DA6BBA" w:rsidRDefault="00281E05" w:rsidP="0028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D168BE6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>Ratings weighted by:</w:t>
      </w:r>
    </w:p>
    <w:p w14:paraId="6501E047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>1.0000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0.6667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0.3333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0.0000</w:t>
      </w:r>
    </w:p>
    <w:p w14:paraId="1405E906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>0.6667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1.0000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0.6667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0.3333</w:t>
      </w:r>
    </w:p>
    <w:p w14:paraId="41C94DDE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>0.3333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0.6667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1.0000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0.6667</w:t>
      </w:r>
    </w:p>
    <w:p w14:paraId="62BD0A73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>0.0000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0.3333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0.6667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1.0000</w:t>
      </w:r>
    </w:p>
    <w:p w14:paraId="0946BE97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14:paraId="7A0A4E0A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Expected Agreement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>Kappa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Std. Err.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Z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>Prob&gt;Z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60D5C2" w14:textId="77777777" w:rsidR="00281E05" w:rsidRPr="00DA6BBA" w:rsidRDefault="00281E05" w:rsidP="00281E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BBA">
        <w:rPr>
          <w:rFonts w:ascii="Times New Roman" w:hAnsi="Times New Roman" w:cs="Times New Roman"/>
          <w:color w:val="000000"/>
          <w:sz w:val="24"/>
          <w:szCs w:val="24"/>
        </w:rPr>
        <w:t xml:space="preserve">97.33% 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67.85%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0.9171          0.0680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  <w:t>13.48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&lt; </w:t>
      </w:r>
      <w:r w:rsidRPr="00DA6BBA">
        <w:rPr>
          <w:rFonts w:ascii="Times New Roman" w:hAnsi="Times New Roman" w:cs="Times New Roman"/>
          <w:color w:val="000000"/>
          <w:sz w:val="24"/>
          <w:szCs w:val="24"/>
        </w:rPr>
        <w:t>0.000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5F564B2" w14:textId="77777777" w:rsidR="00281E05" w:rsidRDefault="00281E05" w:rsidP="00281E05">
      <w:pPr>
        <w:rPr>
          <w:rFonts w:ascii="Times New Roman" w:hAnsi="Times New Roman" w:cs="Times New Roman"/>
          <w:sz w:val="24"/>
          <w:szCs w:val="24"/>
        </w:rPr>
      </w:pPr>
    </w:p>
    <w:p w14:paraId="77C5FC3A" w14:textId="205FE1DC" w:rsidR="00281E05" w:rsidRPr="00DA6BBA" w:rsidRDefault="00281E05" w:rsidP="00281E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Cohen’s k</w:t>
      </w:r>
      <w:r w:rsidRPr="00604CCA">
        <w:rPr>
          <w:rFonts w:ascii="Times New Roman" w:hAnsi="Times New Roman" w:cs="Times New Roman"/>
          <w:sz w:val="24"/>
          <w:szCs w:val="24"/>
        </w:rPr>
        <w:t xml:space="preserve">appa-statistic measure of weighted interrater agreement for double reading </w:t>
      </w:r>
      <w:r w:rsidRPr="00DF6315">
        <w:rPr>
          <w:rFonts w:ascii="Times New Roman" w:hAnsi="Times New Roman" w:cs="Times New Roman"/>
          <w:sz w:val="24"/>
          <w:szCs w:val="24"/>
        </w:rPr>
        <w:t>of CT</w:t>
      </w:r>
      <w:r>
        <w:rPr>
          <w:rFonts w:ascii="Times New Roman" w:hAnsi="Times New Roman" w:cs="Times New Roman"/>
          <w:sz w:val="24"/>
          <w:szCs w:val="24"/>
        </w:rPr>
        <w:t xml:space="preserve"> disease</w:t>
      </w:r>
      <w:r w:rsidRPr="00DF6315">
        <w:rPr>
          <w:rFonts w:ascii="Times New Roman" w:hAnsi="Times New Roman" w:cs="Times New Roman"/>
          <w:sz w:val="24"/>
          <w:szCs w:val="24"/>
        </w:rPr>
        <w:t xml:space="preserve"> extension. The</w:t>
      </w:r>
      <w:r w:rsidRPr="00604CCA">
        <w:rPr>
          <w:rFonts w:ascii="Times New Roman" w:hAnsi="Times New Roman" w:cs="Times New Roman"/>
          <w:sz w:val="24"/>
          <w:szCs w:val="24"/>
        </w:rPr>
        <w:t xml:space="preserve"> weights are given by 1 –|i-j|/(k-1), where i and j index the rows of columns of the ratings by the two readers and k is the maximum number of possible ratings.</w:t>
      </w:r>
    </w:p>
    <w:p w14:paraId="016A2F57" w14:textId="77777777" w:rsidR="00281E05" w:rsidRDefault="00281E05" w:rsidP="00281E05">
      <w:pPr>
        <w:rPr>
          <w:rFonts w:ascii="Times New Roman" w:hAnsi="Times New Roman" w:cs="Times New Roman"/>
        </w:rPr>
      </w:pPr>
      <w:r w:rsidRPr="00DA6BBA">
        <w:rPr>
          <w:rFonts w:ascii="Times New Roman" w:hAnsi="Times New Roman" w:cs="Times New Roman"/>
        </w:rPr>
        <w:tab/>
      </w:r>
    </w:p>
    <w:p w14:paraId="61A6D03B" w14:textId="77777777" w:rsidR="00281E05" w:rsidRDefault="00281E05" w:rsidP="00281E0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8F470B" w14:textId="77777777" w:rsidR="00281E05" w:rsidRDefault="00281E05" w:rsidP="00281E05">
      <w:pPr>
        <w:spacing w:after="0" w:line="480" w:lineRule="auto"/>
        <w:rPr>
          <w:rFonts w:ascii="Times New Roman" w:hAnsi="Times New Roman" w:cs="Times New Roman"/>
        </w:rPr>
      </w:pPr>
      <w:r w:rsidRPr="00EE59CE">
        <w:rPr>
          <w:rFonts w:ascii="Times New Roman" w:hAnsi="Times New Roman" w:cs="Times New Roman"/>
          <w:b/>
          <w:bCs/>
        </w:rPr>
        <w:lastRenderedPageBreak/>
        <w:t>Supplementary Table 2</w:t>
      </w:r>
      <w:r w:rsidRPr="00DA6BBA">
        <w:rPr>
          <w:rFonts w:ascii="Times New Roman" w:hAnsi="Times New Roman" w:cs="Times New Roman"/>
        </w:rPr>
        <w:t xml:space="preserve">. Associations </w:t>
      </w:r>
      <w:r>
        <w:rPr>
          <w:rFonts w:ascii="Times New Roman" w:hAnsi="Times New Roman" w:cs="Times New Roman"/>
        </w:rPr>
        <w:t>between</w:t>
      </w:r>
      <w:r w:rsidRPr="00DA6BBA">
        <w:rPr>
          <w:rFonts w:ascii="Times New Roman" w:hAnsi="Times New Roman" w:cs="Times New Roman"/>
        </w:rPr>
        <w:t xml:space="preserve"> symptoms </w:t>
      </w:r>
      <w:r>
        <w:rPr>
          <w:rFonts w:ascii="Times New Roman" w:hAnsi="Times New Roman" w:cs="Times New Roman"/>
        </w:rPr>
        <w:t>and</w:t>
      </w:r>
      <w:r w:rsidRPr="00DA6BBA">
        <w:rPr>
          <w:rFonts w:ascii="Times New Roman" w:hAnsi="Times New Roman" w:cs="Times New Roman"/>
        </w:rPr>
        <w:t xml:space="preserve"> death in </w:t>
      </w:r>
      <w:proofErr w:type="spellStart"/>
      <w:r w:rsidRPr="00DA6BBA">
        <w:rPr>
          <w:rFonts w:ascii="Times New Roman" w:hAnsi="Times New Roman" w:cs="Times New Roman"/>
        </w:rPr>
        <w:t>subcohort</w:t>
      </w:r>
      <w:proofErr w:type="spellEnd"/>
      <w:r w:rsidRPr="00DA6BBA">
        <w:rPr>
          <w:rFonts w:ascii="Times New Roman" w:hAnsi="Times New Roman" w:cs="Times New Roman"/>
        </w:rPr>
        <w:t>, after adjust</w:t>
      </w:r>
      <w:r>
        <w:rPr>
          <w:rFonts w:ascii="Times New Roman" w:hAnsi="Times New Roman" w:cs="Times New Roman"/>
        </w:rPr>
        <w:t xml:space="preserve">ing </w:t>
      </w:r>
      <w:r w:rsidRPr="00DA6BBA">
        <w:rPr>
          <w:rFonts w:ascii="Times New Roman" w:hAnsi="Times New Roman" w:cs="Times New Roman"/>
        </w:rPr>
        <w:t xml:space="preserve">for age, sex, </w:t>
      </w:r>
      <w:r>
        <w:rPr>
          <w:rFonts w:ascii="Times New Roman" w:hAnsi="Times New Roman" w:cs="Times New Roman"/>
        </w:rPr>
        <w:t>d</w:t>
      </w:r>
      <w:r w:rsidRPr="00DA6BBA">
        <w:rPr>
          <w:rFonts w:ascii="Times New Roman" w:hAnsi="Times New Roman" w:cs="Times New Roman"/>
        </w:rPr>
        <w:t xml:space="preserve">ays from symptom onset, </w:t>
      </w:r>
      <w:r w:rsidRPr="00DF6315">
        <w:rPr>
          <w:rFonts w:ascii="Times New Roman" w:hAnsi="Times New Roman" w:cs="Times New Roman"/>
        </w:rPr>
        <w:t xml:space="preserve">CT </w:t>
      </w:r>
      <w:r>
        <w:rPr>
          <w:rFonts w:ascii="Times New Roman" w:hAnsi="Times New Roman" w:cs="Times New Roman"/>
        </w:rPr>
        <w:t xml:space="preserve">disease </w:t>
      </w:r>
      <w:r w:rsidRPr="00DF6315">
        <w:rPr>
          <w:rFonts w:ascii="Times New Roman" w:hAnsi="Times New Roman" w:cs="Times New Roman"/>
        </w:rPr>
        <w:t>extension</w:t>
      </w:r>
      <w:r w:rsidRPr="00DA6BBA">
        <w:rPr>
          <w:rFonts w:ascii="Times New Roman" w:hAnsi="Times New Roman" w:cs="Times New Roman"/>
        </w:rPr>
        <w:t xml:space="preserve">, neutrophils, LDH, </w:t>
      </w:r>
      <w:r>
        <w:rPr>
          <w:rFonts w:ascii="Times New Roman" w:hAnsi="Times New Roman" w:cs="Times New Roman"/>
        </w:rPr>
        <w:t>S</w:t>
      </w:r>
      <w:r w:rsidRPr="00DA6BBA">
        <w:rPr>
          <w:rFonts w:ascii="Times New Roman" w:hAnsi="Times New Roman" w:cs="Times New Roman"/>
        </w:rPr>
        <w:t>O2, HDL cholesterol, dementia, heart failure</w:t>
      </w:r>
      <w:r>
        <w:rPr>
          <w:rFonts w:ascii="Times New Roman" w:hAnsi="Times New Roman" w:cs="Times New Roman"/>
        </w:rPr>
        <w:t>,</w:t>
      </w:r>
      <w:r w:rsidRPr="00DA6BBA">
        <w:rPr>
          <w:rFonts w:ascii="Times New Roman" w:hAnsi="Times New Roman" w:cs="Times New Roman"/>
        </w:rPr>
        <w:t xml:space="preserve"> and vascular diseases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2758"/>
        <w:gridCol w:w="1282"/>
        <w:gridCol w:w="2164"/>
      </w:tblGrid>
      <w:tr w:rsidR="00281E05" w:rsidRPr="00094E26" w14:paraId="12487949" w14:textId="77777777" w:rsidTr="00BE7D14"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54D9C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F20A2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094E26">
              <w:rPr>
                <w:rFonts w:ascii="Times New Roman" w:hAnsi="Times New Roman" w:cs="Times New Roman"/>
                <w:b/>
              </w:rPr>
              <w:t>Death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39AD9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E05" w:rsidRPr="00094E26" w14:paraId="283966C1" w14:textId="77777777" w:rsidTr="00BE7D14"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1A224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5F089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proofErr w:type="spellStart"/>
            <w:r w:rsidRPr="00094E26">
              <w:rPr>
                <w:rFonts w:ascii="Times New Roman" w:hAnsi="Times New Roman" w:cs="Times New Roman"/>
              </w:rPr>
              <w:t>Subcohort</w:t>
            </w:r>
            <w:proofErr w:type="spellEnd"/>
            <w:r w:rsidRPr="00094E26">
              <w:rPr>
                <w:rFonts w:ascii="Times New Roman" w:hAnsi="Times New Roman" w:cs="Times New Roman"/>
              </w:rPr>
              <w:t xml:space="preserve"> (N=318)</w:t>
            </w:r>
          </w:p>
        </w:tc>
      </w:tr>
      <w:tr w:rsidR="00281E05" w:rsidRPr="00094E26" w14:paraId="2D4C430E" w14:textId="77777777" w:rsidTr="00BE7D14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7B4D2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094E26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0AF0C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094E26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83DEC" w14:textId="77777777" w:rsidR="00281E05" w:rsidRPr="00094E26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094E26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281E05" w:rsidRPr="00094E26" w14:paraId="46DED47A" w14:textId="77777777" w:rsidTr="00BE7D14"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52C07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6EE5E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8695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0.306-0.995</w:t>
            </w:r>
          </w:p>
        </w:tc>
      </w:tr>
      <w:tr w:rsidR="00281E05" w:rsidRPr="00094E26" w14:paraId="4AF56B23" w14:textId="77777777" w:rsidTr="00BE7D14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D8A17B2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Dyspnea/polypnea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5BBFD86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1.101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77F9F33D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0.612-1.982</w:t>
            </w:r>
          </w:p>
        </w:tc>
      </w:tr>
      <w:tr w:rsidR="00281E05" w:rsidRPr="00094E26" w14:paraId="4F20DA84" w14:textId="77777777" w:rsidTr="00BE7D14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1C00D8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Myalgia/arthralgia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159443A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589B0BCF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0.154-3.146</w:t>
            </w:r>
          </w:p>
        </w:tc>
      </w:tr>
      <w:tr w:rsidR="00281E05" w:rsidRPr="00094E26" w14:paraId="6AD3FF8A" w14:textId="77777777" w:rsidTr="00BE7D14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3A6BE8D9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8D0A014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1.835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5699F189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0.599-5.627</w:t>
            </w:r>
          </w:p>
        </w:tc>
      </w:tr>
      <w:tr w:rsidR="00281E05" w:rsidRPr="00094E26" w14:paraId="37D90173" w14:textId="77777777" w:rsidTr="00BE7D14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FF4B1D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Syncope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9F18CA7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62AD9278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0.161-1.494</w:t>
            </w:r>
          </w:p>
        </w:tc>
      </w:tr>
      <w:tr w:rsidR="00281E05" w:rsidRPr="00094E26" w14:paraId="48E652D8" w14:textId="77777777" w:rsidTr="00BE7D14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1B197C49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Gastrointestinal symptoms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BC1B863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2.396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11CB8CD4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1.049-5.471</w:t>
            </w:r>
          </w:p>
        </w:tc>
      </w:tr>
      <w:tr w:rsidR="00281E05" w:rsidRPr="00094E26" w14:paraId="5D4B7972" w14:textId="77777777" w:rsidTr="00BE7D14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704FA4A" w14:textId="77777777" w:rsidR="00281E05" w:rsidRPr="00094E26" w:rsidRDefault="00281E05" w:rsidP="00BE7D14">
            <w:pPr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Other symptoms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502D036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</w:rPr>
            </w:pPr>
            <w:r w:rsidRPr="00094E26">
              <w:rPr>
                <w:rFonts w:ascii="Times New Roman" w:hAnsi="Times New Roman" w:cs="Times New Roman"/>
              </w:rPr>
              <w:t>1.178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77FA6D99" w14:textId="77777777" w:rsidR="00281E05" w:rsidRPr="00094E26" w:rsidRDefault="00281E05" w:rsidP="00BE7D14">
            <w:pPr>
              <w:rPr>
                <w:rFonts w:ascii="Times New Roman" w:hAnsi="Times New Roman" w:cs="Times New Roman"/>
                <w:lang w:val="it-IT"/>
              </w:rPr>
            </w:pPr>
            <w:r w:rsidRPr="00094E26">
              <w:rPr>
                <w:rFonts w:ascii="Times New Roman" w:hAnsi="Times New Roman" w:cs="Times New Roman"/>
                <w:lang w:val="it-IT"/>
              </w:rPr>
              <w:t>0.262-5.299</w:t>
            </w:r>
          </w:p>
        </w:tc>
      </w:tr>
      <w:tr w:rsidR="00281E05" w:rsidRPr="00094E26" w14:paraId="2B4EC852" w14:textId="77777777" w:rsidTr="00BE7D14"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EF5CA" w14:textId="77777777" w:rsidR="00281E05" w:rsidRPr="00094E26" w:rsidRDefault="00281E05" w:rsidP="00BE7D14">
            <w:pPr>
              <w:rPr>
                <w:rFonts w:ascii="Times New Roman" w:hAnsi="Times New Roman" w:cs="Times New Roman"/>
                <w:lang w:val="it-IT"/>
              </w:rPr>
            </w:pPr>
            <w:r w:rsidRPr="00094E26">
              <w:rPr>
                <w:rFonts w:ascii="Times New Roman" w:hAnsi="Times New Roman" w:cs="Times New Roman"/>
              </w:rPr>
              <w:t>Body temperature 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E26">
              <w:rPr>
                <w:rFonts w:ascii="Times New Roman" w:hAnsi="Times New Roman" w:cs="Times New Roman"/>
              </w:rPr>
              <w:t>37.5°C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80506" w14:textId="77777777" w:rsidR="00281E05" w:rsidRPr="00094E26" w:rsidRDefault="00281E05" w:rsidP="00BE7D14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94E26">
              <w:rPr>
                <w:rFonts w:ascii="Times New Roman" w:hAnsi="Times New Roman" w:cs="Times New Roman"/>
                <w:lang w:val="it-IT"/>
              </w:rPr>
              <w:t>1.550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58B53" w14:textId="77777777" w:rsidR="00281E05" w:rsidRPr="00094E26" w:rsidRDefault="00281E05" w:rsidP="00BE7D14">
            <w:pPr>
              <w:rPr>
                <w:rFonts w:ascii="Times New Roman" w:hAnsi="Times New Roman" w:cs="Times New Roman"/>
                <w:lang w:val="it-IT"/>
              </w:rPr>
            </w:pPr>
            <w:r w:rsidRPr="00094E26">
              <w:rPr>
                <w:rFonts w:ascii="Times New Roman" w:hAnsi="Times New Roman" w:cs="Times New Roman"/>
                <w:lang w:val="it-IT"/>
              </w:rPr>
              <w:t>0.849-2.827</w:t>
            </w:r>
          </w:p>
        </w:tc>
      </w:tr>
    </w:tbl>
    <w:p w14:paraId="0867AB1D" w14:textId="77777777" w:rsidR="00281E05" w:rsidRDefault="00281E05" w:rsidP="00281E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2: Associations</w:t>
      </w:r>
      <w:r w:rsidRPr="00102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102D59">
        <w:rPr>
          <w:rFonts w:ascii="Times New Roman" w:hAnsi="Times New Roman" w:cs="Times New Roman"/>
        </w:rPr>
        <w:t xml:space="preserve"> symptoms </w:t>
      </w:r>
      <w:r>
        <w:rPr>
          <w:rFonts w:ascii="Times New Roman" w:hAnsi="Times New Roman" w:cs="Times New Roman"/>
        </w:rPr>
        <w:t>and</w:t>
      </w:r>
      <w:r w:rsidRPr="00102D59">
        <w:rPr>
          <w:rFonts w:ascii="Times New Roman" w:hAnsi="Times New Roman" w:cs="Times New Roman"/>
        </w:rPr>
        <w:t xml:space="preserve"> death, after correcti</w:t>
      </w:r>
      <w:r>
        <w:rPr>
          <w:rFonts w:ascii="Times New Roman" w:hAnsi="Times New Roman" w:cs="Times New Roman"/>
        </w:rPr>
        <w:t>ng</w:t>
      </w:r>
      <w:r w:rsidRPr="00102D59">
        <w:rPr>
          <w:rFonts w:ascii="Times New Roman" w:hAnsi="Times New Roman" w:cs="Times New Roman"/>
        </w:rPr>
        <w:t xml:space="preserve"> for age, sex, days from symptom onset, </w:t>
      </w:r>
      <w:r w:rsidRPr="00DF6315">
        <w:rPr>
          <w:rFonts w:ascii="Times New Roman" w:hAnsi="Times New Roman" w:cs="Times New Roman"/>
        </w:rPr>
        <w:t xml:space="preserve">CT </w:t>
      </w:r>
      <w:r>
        <w:rPr>
          <w:rFonts w:ascii="Times New Roman" w:hAnsi="Times New Roman" w:cs="Times New Roman"/>
        </w:rPr>
        <w:t xml:space="preserve">disease </w:t>
      </w:r>
      <w:r w:rsidRPr="00DF6315">
        <w:rPr>
          <w:rFonts w:ascii="Times New Roman" w:hAnsi="Times New Roman" w:cs="Times New Roman"/>
        </w:rPr>
        <w:t>extension</w:t>
      </w:r>
      <w:r w:rsidRPr="00102D59">
        <w:rPr>
          <w:rFonts w:ascii="Times New Roman" w:hAnsi="Times New Roman" w:cs="Times New Roman"/>
        </w:rPr>
        <w:t xml:space="preserve">, neutrophils, </w:t>
      </w:r>
      <w:r>
        <w:rPr>
          <w:rFonts w:ascii="Times New Roman" w:hAnsi="Times New Roman" w:cs="Times New Roman"/>
        </w:rPr>
        <w:t>lactate dehydrogenase (</w:t>
      </w:r>
      <w:r w:rsidRPr="00102D59">
        <w:rPr>
          <w:rFonts w:ascii="Times New Roman" w:hAnsi="Times New Roman" w:cs="Times New Roman"/>
        </w:rPr>
        <w:t>LDH</w:t>
      </w:r>
      <w:r>
        <w:rPr>
          <w:rFonts w:ascii="Times New Roman" w:hAnsi="Times New Roman" w:cs="Times New Roman"/>
        </w:rPr>
        <w:t>)</w:t>
      </w:r>
      <w:r w:rsidRPr="00102D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oxygen saturation level (SO2)</w:t>
      </w:r>
      <w:r w:rsidRPr="00102D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high-density lipoprotein (</w:t>
      </w:r>
      <w:r w:rsidRPr="00102D59">
        <w:rPr>
          <w:rFonts w:ascii="Times New Roman" w:hAnsi="Times New Roman" w:cs="Times New Roman"/>
        </w:rPr>
        <w:t>HDL</w:t>
      </w:r>
      <w:r>
        <w:rPr>
          <w:rFonts w:ascii="Times New Roman" w:hAnsi="Times New Roman" w:cs="Times New Roman"/>
        </w:rPr>
        <w:t>)</w:t>
      </w:r>
      <w:r w:rsidRPr="00102D59">
        <w:rPr>
          <w:rFonts w:ascii="Times New Roman" w:hAnsi="Times New Roman" w:cs="Times New Roman"/>
        </w:rPr>
        <w:t xml:space="preserve"> cholesterol, dementia, heart failure</w:t>
      </w:r>
      <w:r>
        <w:rPr>
          <w:rFonts w:ascii="Times New Roman" w:hAnsi="Times New Roman" w:cs="Times New Roman"/>
        </w:rPr>
        <w:t>,</w:t>
      </w:r>
      <w:r w:rsidRPr="00102D59">
        <w:rPr>
          <w:rFonts w:ascii="Times New Roman" w:hAnsi="Times New Roman" w:cs="Times New Roman"/>
        </w:rPr>
        <w:t xml:space="preserve"> and vascular diseases in the </w:t>
      </w:r>
      <w:proofErr w:type="spellStart"/>
      <w:r w:rsidRPr="00102D59">
        <w:rPr>
          <w:rFonts w:ascii="Times New Roman" w:hAnsi="Times New Roman" w:cs="Times New Roman"/>
        </w:rPr>
        <w:t>subcohort</w:t>
      </w:r>
      <w:proofErr w:type="spellEnd"/>
      <w:r w:rsidRPr="00102D59">
        <w:rPr>
          <w:rFonts w:ascii="Times New Roman" w:hAnsi="Times New Roman" w:cs="Times New Roman"/>
        </w:rPr>
        <w:t xml:space="preserve"> of 318 patients with availability of data on symptoms. HR, hazard ratio, CI, confidence interval.</w:t>
      </w:r>
    </w:p>
    <w:p w14:paraId="0C1C294B" w14:textId="77777777" w:rsidR="00281E05" w:rsidRDefault="00281E05" w:rsidP="0028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68C6BD" w14:textId="77777777" w:rsidR="00281E05" w:rsidRDefault="00281E05" w:rsidP="0028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9D05BE" w14:textId="77777777" w:rsidR="00281E05" w:rsidRDefault="00281E05" w:rsidP="00281E0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F235FE" w14:textId="77777777" w:rsidR="00281E05" w:rsidRPr="00F33C74" w:rsidRDefault="00281E05" w:rsidP="00281E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E59CE">
        <w:rPr>
          <w:rFonts w:ascii="Times New Roman" w:hAnsi="Times New Roman" w:cs="Times New Roman"/>
          <w:b/>
          <w:bCs/>
        </w:rPr>
        <w:lastRenderedPageBreak/>
        <w:t>Supplementary Table 3</w:t>
      </w:r>
      <w:r>
        <w:rPr>
          <w:rFonts w:ascii="Times New Roman" w:hAnsi="Times New Roman" w:cs="Times New Roman"/>
        </w:rPr>
        <w:t xml:space="preserve">. </w:t>
      </w:r>
      <w:r w:rsidRPr="00F33C74">
        <w:rPr>
          <w:rFonts w:ascii="Times New Roman" w:hAnsi="Times New Roman" w:cs="Times New Roman"/>
        </w:rPr>
        <w:t>Multivaria</w:t>
      </w:r>
      <w:r>
        <w:rPr>
          <w:rFonts w:ascii="Times New Roman" w:hAnsi="Times New Roman" w:cs="Times New Roman"/>
        </w:rPr>
        <w:t>bl</w:t>
      </w:r>
      <w:r w:rsidRPr="00F33C74">
        <w:rPr>
          <w:rFonts w:ascii="Times New Roman" w:hAnsi="Times New Roman" w:cs="Times New Roman"/>
        </w:rPr>
        <w:t>e models</w:t>
      </w:r>
      <w:r>
        <w:rPr>
          <w:rFonts w:ascii="Times New Roman" w:hAnsi="Times New Roman" w:cs="Times New Roman"/>
        </w:rPr>
        <w:t xml:space="preserve"> for death, with and without </w:t>
      </w:r>
      <w:r w:rsidRPr="00DF6315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disease</w:t>
      </w:r>
      <w:r w:rsidRPr="00DF6315">
        <w:rPr>
          <w:rFonts w:ascii="Times New Roman" w:hAnsi="Times New Roman" w:cs="Times New Roman"/>
        </w:rPr>
        <w:t xml:space="preserve"> extension</w:t>
      </w:r>
      <w:r>
        <w:rPr>
          <w:rFonts w:ascii="Times New Roman" w:hAnsi="Times New Roman" w:cs="Times New Roman"/>
        </w:rPr>
        <w:t xml:space="preserve">, in the </w:t>
      </w:r>
      <w:proofErr w:type="spellStart"/>
      <w:r>
        <w:rPr>
          <w:rFonts w:ascii="Times New Roman" w:hAnsi="Times New Roman" w:cs="Times New Roman"/>
        </w:rPr>
        <w:t>subcohort</w:t>
      </w:r>
      <w:proofErr w:type="spellEnd"/>
      <w:r w:rsidRPr="00F33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patients with availability of data on symptoms.</w:t>
      </w:r>
      <w:r w:rsidRPr="00F33C74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817"/>
        <w:gridCol w:w="884"/>
        <w:gridCol w:w="1002"/>
        <w:gridCol w:w="1200"/>
        <w:gridCol w:w="1875"/>
        <w:gridCol w:w="284"/>
        <w:gridCol w:w="1417"/>
        <w:gridCol w:w="1590"/>
      </w:tblGrid>
      <w:tr w:rsidR="00281E05" w:rsidRPr="007B6CC9" w14:paraId="479D186C" w14:textId="77777777" w:rsidTr="00BE7D14"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47A8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FF7EF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Multivaria</w:t>
            </w:r>
            <w:r>
              <w:rPr>
                <w:rFonts w:ascii="Times New Roman" w:hAnsi="Times New Roman" w:cs="Times New Roman"/>
              </w:rPr>
              <w:t>bl</w:t>
            </w:r>
            <w:r w:rsidRPr="007B6CC9">
              <w:rPr>
                <w:rFonts w:ascii="Times New Roman" w:hAnsi="Times New Roman" w:cs="Times New Roman"/>
              </w:rPr>
              <w:t>e model without CT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767FC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7B6CC9">
              <w:rPr>
                <w:rFonts w:ascii="Times New Roman" w:hAnsi="Times New Roman" w:cs="Times New Roman"/>
              </w:rPr>
              <w:t>Multivaria</w:t>
            </w:r>
            <w:r>
              <w:rPr>
                <w:rFonts w:ascii="Times New Roman" w:hAnsi="Times New Roman" w:cs="Times New Roman"/>
              </w:rPr>
              <w:t>bl</w:t>
            </w:r>
            <w:r w:rsidRPr="007B6CC9">
              <w:rPr>
                <w:rFonts w:ascii="Times New Roman" w:hAnsi="Times New Roman" w:cs="Times New Roman"/>
              </w:rPr>
              <w:t>e model with CT</w:t>
            </w:r>
          </w:p>
        </w:tc>
      </w:tr>
      <w:tr w:rsidR="00281E05" w:rsidRPr="007B6CC9" w14:paraId="2C272DE0" w14:textId="77777777" w:rsidTr="00BE7D14"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EB409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7B6CC9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9E13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7B6CC9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632D1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7B6CC9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55B0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7B6CC9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C3201" w14:textId="77777777" w:rsidR="00281E05" w:rsidRPr="007B6CC9" w:rsidRDefault="00281E05" w:rsidP="00BE7D14">
            <w:pPr>
              <w:rPr>
                <w:rFonts w:ascii="Times New Roman" w:hAnsi="Times New Roman" w:cs="Times New Roman"/>
                <w:b/>
              </w:rPr>
            </w:pPr>
            <w:r w:rsidRPr="007B6CC9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281E05" w:rsidRPr="007B6CC9" w14:paraId="4085CF5F" w14:textId="77777777" w:rsidTr="00BE7D14"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7B839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35859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1.074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6108B4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1.046-1.102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7A7F8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1.088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13D958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1.057-1.121</w:t>
            </w:r>
          </w:p>
        </w:tc>
      </w:tr>
      <w:tr w:rsidR="00281E05" w:rsidRPr="007B6CC9" w14:paraId="1C902F3B" w14:textId="77777777" w:rsidTr="00BE7D14">
        <w:trPr>
          <w:trHeight w:val="142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14:paraId="68715783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 xml:space="preserve">Sex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1AEC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0C3DF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730AD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67EB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8C65AA4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E05" w:rsidRPr="007B6CC9" w14:paraId="61E04CF5" w14:textId="77777777" w:rsidTr="00BE7D14"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14:paraId="6270A241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7DD1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8B7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1.863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84E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0.917-3.784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C45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1.899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81E6A4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0.912-3.956</w:t>
            </w:r>
          </w:p>
        </w:tc>
      </w:tr>
      <w:tr w:rsidR="00281E05" w:rsidRPr="007B6CC9" w14:paraId="3EC9F88F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5360E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HDL cholesterol (mg/dl)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BC3B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0.983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1B18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0.956-1.010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44B4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9731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0.954-1.009</w:t>
            </w:r>
          </w:p>
        </w:tc>
      </w:tr>
      <w:tr w:rsidR="00281E05" w:rsidRPr="007B6CC9" w14:paraId="5F4E5ADD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63E8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B2F0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7.695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A477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0.839-70.532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25B4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2.667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0DE8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0.291-24.428</w:t>
            </w:r>
          </w:p>
        </w:tc>
      </w:tr>
      <w:tr w:rsidR="00281E05" w:rsidRPr="007B6CC9" w14:paraId="226B41FF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0CB77" w14:textId="77777777" w:rsidR="00281E05" w:rsidRPr="007B6CC9" w:rsidDel="001E2231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eart failure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85C0" w14:textId="77777777" w:rsidR="00281E05" w:rsidRPr="007B6CC9" w:rsidDel="001E2231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3.859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D158" w14:textId="77777777" w:rsidR="00281E05" w:rsidRPr="007B6CC9" w:rsidDel="001E2231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1.959-7.605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F875" w14:textId="77777777" w:rsidR="00281E05" w:rsidRPr="007B6CC9" w:rsidDel="001E2231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2.518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7206" w14:textId="77777777" w:rsidR="00281E05" w:rsidRPr="007B6CC9" w:rsidDel="001E2231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1.193-5.313</w:t>
            </w:r>
          </w:p>
        </w:tc>
      </w:tr>
      <w:tr w:rsidR="00281E05" w:rsidRPr="007B6CC9" w14:paraId="44F76429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FAA1C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Vascular diseases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98D0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2.926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3695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0.729-11.735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D5DB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1.317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29B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0.316-5.486</w:t>
            </w:r>
          </w:p>
        </w:tc>
      </w:tr>
      <w:tr w:rsidR="00281E05" w:rsidRPr="007B6CC9" w14:paraId="7768C8B4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5235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Days from symptom onset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A8E0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0.864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693F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0.789-0.946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87D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0.828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9A9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0.752-0.912</w:t>
            </w:r>
          </w:p>
        </w:tc>
      </w:tr>
      <w:tr w:rsidR="00281E05" w:rsidRPr="007B6CC9" w14:paraId="729BBD80" w14:textId="77777777" w:rsidTr="00BE7D14">
        <w:trPr>
          <w:trHeight w:val="148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89B87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Neutrophils (10^9/L)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4084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1.166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E3D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1.049-1.296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96ED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1.123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DF4E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1.013-1.246</w:t>
            </w:r>
          </w:p>
        </w:tc>
      </w:tr>
      <w:tr w:rsidR="00281E05" w:rsidRPr="007B6CC9" w14:paraId="16025CA3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1D59A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LDH (U/L)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69C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1.000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182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0.999-1.001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B654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9687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0.997-1.000</w:t>
            </w:r>
          </w:p>
        </w:tc>
      </w:tr>
      <w:tr w:rsidR="00281E05" w:rsidRPr="007B6CC9" w14:paraId="78892C01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89767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SO2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4CFC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0.935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7137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0.899-0.973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DE1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65ED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0.922-1.003</w:t>
            </w:r>
          </w:p>
        </w:tc>
      </w:tr>
      <w:tr w:rsidR="00281E05" w:rsidRPr="007B6CC9" w14:paraId="2A82D3E4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2CC2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D4D6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0.559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DEB9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0.316-0.991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35E7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0.558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9876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0.309-1.007</w:t>
            </w:r>
          </w:p>
        </w:tc>
      </w:tr>
      <w:tr w:rsidR="00281E05" w:rsidRPr="007B6CC9" w14:paraId="53DE9409" w14:textId="77777777" w:rsidTr="00BE7D14"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79BEE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Gastrointestinal symptoms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EBF3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2.699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B819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1.195-6.095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635B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2.357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96D1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1.025-5.418</w:t>
            </w:r>
          </w:p>
        </w:tc>
      </w:tr>
      <w:tr w:rsidR="00281E05" w:rsidRPr="007B6CC9" w14:paraId="34389752" w14:textId="77777777" w:rsidTr="00BE7D14"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E1FB62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 w:rsidRPr="007B6CC9">
              <w:rPr>
                <w:rFonts w:ascii="Times New Roman" w:hAnsi="Times New Roman" w:cs="Times New Roman"/>
              </w:rPr>
              <w:t>CT extension</w:t>
            </w:r>
          </w:p>
          <w:p w14:paraId="24759779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D1A0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CAB5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4497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2F98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2FD5B2C9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E05" w:rsidRPr="007B6CC9" w14:paraId="260D1E89" w14:textId="77777777" w:rsidTr="00BE7D14"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7A11F782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2473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0ABF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1959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E74FA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1.344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2ECA6839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0.515-3.509</w:t>
            </w:r>
          </w:p>
        </w:tc>
      </w:tr>
      <w:tr w:rsidR="00281E05" w:rsidRPr="007B6CC9" w14:paraId="6750B845" w14:textId="77777777" w:rsidTr="00BE7D14"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605940B7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893E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E46B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AEFF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231C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2.809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3E1C508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1.034-7.634</w:t>
            </w:r>
          </w:p>
        </w:tc>
      </w:tr>
      <w:tr w:rsidR="00281E05" w:rsidRPr="007B6CC9" w14:paraId="76682DD9" w14:textId="77777777" w:rsidTr="00BE7D14">
        <w:trPr>
          <w:trHeight w:val="120"/>
        </w:trPr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BA0C48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5D822" w14:textId="77777777" w:rsidR="00281E05" w:rsidRPr="007B6CC9" w:rsidRDefault="00281E05" w:rsidP="00BE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1701C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6C142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0C7B6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14.740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A5694" w14:textId="77777777" w:rsidR="00281E05" w:rsidRPr="007B6CC9" w:rsidRDefault="00281E05" w:rsidP="00BE7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C9">
              <w:rPr>
                <w:rFonts w:ascii="Times New Roman" w:hAnsi="Times New Roman" w:cs="Times New Roman"/>
                <w:color w:val="000000" w:themeColor="text1"/>
              </w:rPr>
              <w:t>5.009-43.372</w:t>
            </w:r>
          </w:p>
        </w:tc>
      </w:tr>
    </w:tbl>
    <w:p w14:paraId="15B3E5FB" w14:textId="77777777" w:rsidR="00281E05" w:rsidRDefault="00281E05" w:rsidP="00281E05"/>
    <w:p w14:paraId="511E84B7" w14:textId="2A01C143" w:rsidR="00222823" w:rsidRDefault="00281E05">
      <w:r>
        <w:rPr>
          <w:rFonts w:ascii="Times New Roman" w:hAnsi="Times New Roman" w:cs="Times New Roman"/>
        </w:rPr>
        <w:t xml:space="preserve">Supplementary </w:t>
      </w:r>
      <w:r w:rsidRPr="00F7050C">
        <w:rPr>
          <w:rFonts w:ascii="Times New Roman" w:hAnsi="Times New Roman" w:cs="Times New Roman"/>
        </w:rPr>
        <w:t>Table 3</w:t>
      </w:r>
      <w:r>
        <w:rPr>
          <w:rFonts w:ascii="Times New Roman" w:hAnsi="Times New Roman" w:cs="Times New Roman"/>
        </w:rPr>
        <w:t xml:space="preserve">: Multivariable models (without and with </w:t>
      </w:r>
      <w:r w:rsidRPr="00DF6315">
        <w:rPr>
          <w:rFonts w:ascii="Times New Roman" w:hAnsi="Times New Roman" w:cs="Times New Roman"/>
        </w:rPr>
        <w:t xml:space="preserve">CT </w:t>
      </w:r>
      <w:r>
        <w:rPr>
          <w:rFonts w:ascii="Times New Roman" w:hAnsi="Times New Roman" w:cs="Times New Roman"/>
        </w:rPr>
        <w:t xml:space="preserve">disease </w:t>
      </w:r>
      <w:r w:rsidRPr="00DF631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) including factors previously selected and symptoms resulting significantly associated with death in univariable analyses, in the </w:t>
      </w:r>
      <w:proofErr w:type="spellStart"/>
      <w:r>
        <w:rPr>
          <w:rFonts w:ascii="Times New Roman" w:hAnsi="Times New Roman" w:cs="Times New Roman"/>
        </w:rPr>
        <w:t>subcohort</w:t>
      </w:r>
      <w:proofErr w:type="spellEnd"/>
      <w:r>
        <w:rPr>
          <w:rFonts w:ascii="Times New Roman" w:hAnsi="Times New Roman" w:cs="Times New Roman"/>
        </w:rPr>
        <w:t xml:space="preserve"> of 318 patients with availability of data on symptoms. </w:t>
      </w:r>
      <w:r w:rsidRPr="00F7050C">
        <w:rPr>
          <w:rFonts w:ascii="Times New Roman" w:hAnsi="Times New Roman" w:cs="Times New Roman"/>
        </w:rPr>
        <w:t>HR, hazard ratio; CI, confidence interval; HDL, high density lipoprotein; LDH, lactate dehydrogenase; SO2, oxygen saturation level.</w:t>
      </w:r>
    </w:p>
    <w:sectPr w:rsidR="00222823">
      <w:footerReference w:type="default" r:id="rId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736553"/>
      <w:docPartObj>
        <w:docPartGallery w:val="Page Numbers (Bottom of Page)"/>
        <w:docPartUnique/>
      </w:docPartObj>
    </w:sdtPr>
    <w:sdtEndPr/>
    <w:sdtContent>
      <w:p w14:paraId="0172392A" w14:textId="77777777" w:rsidR="00680674" w:rsidRDefault="00281E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607B05D" w14:textId="77777777" w:rsidR="00680674" w:rsidRDefault="00281E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05"/>
    <w:rsid w:val="00222823"/>
    <w:rsid w:val="00242694"/>
    <w:rsid w:val="002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615D"/>
  <w15:chartTrackingRefBased/>
  <w15:docId w15:val="{DA6DEB73-DC39-46C3-8136-984ECC9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1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2020-11-06T16:55:00Z</dcterms:created>
  <dcterms:modified xsi:type="dcterms:W3CDTF">2020-11-06T16:56:00Z</dcterms:modified>
</cp:coreProperties>
</file>