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82E" w:rsidRDefault="0022082E" w:rsidP="0022082E">
      <w:pPr>
        <w:rPr>
          <w:rFonts w:ascii="Arial" w:hAnsi="Arial" w:cs="Arial"/>
        </w:rPr>
      </w:pPr>
      <w:r w:rsidRPr="00005125">
        <w:rPr>
          <w:rFonts w:ascii="Arial" w:hAnsi="Arial" w:cs="Arial"/>
        </w:rPr>
        <w:t xml:space="preserve">Table 2: Results of linear regression analysis. The percentage of the population over 65 years of age was associated with higher rates of CSM such that for every percent increase in population over 65 years old, CSM increased by 10% (95% confidence interval:  </w:t>
      </w:r>
      <w:r>
        <w:rPr>
          <w:rFonts w:ascii="Arial" w:hAnsi="Arial" w:cs="Arial"/>
        </w:rPr>
        <w:t>2</w:t>
      </w:r>
      <w:r w:rsidRPr="00005125">
        <w:rPr>
          <w:rFonts w:ascii="Arial" w:hAnsi="Arial" w:cs="Arial"/>
        </w:rPr>
        <w:t xml:space="preserve">% to </w:t>
      </w:r>
      <w:r>
        <w:rPr>
          <w:rFonts w:ascii="Arial" w:hAnsi="Arial" w:cs="Arial"/>
        </w:rPr>
        <w:t>18</w:t>
      </w:r>
      <w:r w:rsidRPr="00005125">
        <w:rPr>
          <w:rFonts w:ascii="Arial" w:hAnsi="Arial" w:cs="Arial"/>
        </w:rPr>
        <w:t xml:space="preserve">%). The total population of a country was associated with improved CSM (for every unit increase there was a 1% decrease in CSM (95% CI: 0.53 to </w:t>
      </w:r>
      <w:r>
        <w:rPr>
          <w:rFonts w:ascii="Arial" w:hAnsi="Arial" w:cs="Arial"/>
        </w:rPr>
        <w:t>1.</w:t>
      </w:r>
      <w:r w:rsidRPr="00005125">
        <w:rPr>
          <w:rFonts w:ascii="Arial" w:hAnsi="Arial" w:cs="Arial"/>
        </w:rPr>
        <w:t xml:space="preserve">47%). An active BCG vaccination program for the preceding 15 years was shown to reduce CSM significantly by 71% (95% CI:  </w:t>
      </w:r>
      <w:r>
        <w:rPr>
          <w:rFonts w:ascii="Arial" w:hAnsi="Arial" w:cs="Arial"/>
        </w:rPr>
        <w:t>53</w:t>
      </w:r>
      <w:r w:rsidRPr="00005125">
        <w:rPr>
          <w:rFonts w:ascii="Arial" w:hAnsi="Arial" w:cs="Arial"/>
        </w:rPr>
        <w:t xml:space="preserve"> to 89%).</w:t>
      </w:r>
    </w:p>
    <w:p w:rsidR="0022082E" w:rsidRDefault="0022082E" w:rsidP="0022082E">
      <w:pPr>
        <w:rPr>
          <w:rFonts w:ascii="Arial" w:hAnsi="Arial" w:cs="Arial"/>
        </w:rPr>
      </w:pPr>
    </w:p>
    <w:tbl>
      <w:tblPr>
        <w:tblStyle w:val="TableGrid"/>
        <w:tblW w:w="0" w:type="auto"/>
        <w:tblLook w:val="04A0" w:firstRow="1" w:lastRow="0" w:firstColumn="1" w:lastColumn="0" w:noHBand="0" w:noVBand="1"/>
      </w:tblPr>
      <w:tblGrid>
        <w:gridCol w:w="1875"/>
        <w:gridCol w:w="1951"/>
        <w:gridCol w:w="1744"/>
        <w:gridCol w:w="1951"/>
        <w:gridCol w:w="1829"/>
      </w:tblGrid>
      <w:tr w:rsidR="0022082E" w:rsidTr="00D75AB9">
        <w:tc>
          <w:tcPr>
            <w:tcW w:w="2398" w:type="dxa"/>
          </w:tcPr>
          <w:p w:rsidR="0022082E" w:rsidRDefault="0022082E" w:rsidP="00D75AB9">
            <w:pPr>
              <w:jc w:val="center"/>
            </w:pPr>
          </w:p>
        </w:tc>
        <w:tc>
          <w:tcPr>
            <w:tcW w:w="4796" w:type="dxa"/>
            <w:gridSpan w:val="2"/>
          </w:tcPr>
          <w:p w:rsidR="0022082E" w:rsidRDefault="0022082E" w:rsidP="00D75AB9">
            <w:pPr>
              <w:jc w:val="center"/>
            </w:pPr>
            <w:r>
              <w:t>Univariate</w:t>
            </w:r>
          </w:p>
        </w:tc>
        <w:tc>
          <w:tcPr>
            <w:tcW w:w="4797" w:type="dxa"/>
            <w:gridSpan w:val="2"/>
          </w:tcPr>
          <w:p w:rsidR="0022082E" w:rsidRDefault="0022082E" w:rsidP="00D75AB9">
            <w:pPr>
              <w:jc w:val="center"/>
            </w:pPr>
            <w:r>
              <w:t>Multivariate</w:t>
            </w:r>
          </w:p>
        </w:tc>
      </w:tr>
      <w:tr w:rsidR="0022082E" w:rsidTr="00D75AB9">
        <w:tc>
          <w:tcPr>
            <w:tcW w:w="2398" w:type="dxa"/>
          </w:tcPr>
          <w:p w:rsidR="0022082E" w:rsidRPr="00700805" w:rsidRDefault="0022082E" w:rsidP="00D75AB9">
            <w:pPr>
              <w:jc w:val="center"/>
              <w:rPr>
                <w:rFonts w:cstheme="minorHAnsi"/>
              </w:rPr>
            </w:pPr>
            <w:r w:rsidRPr="00700805">
              <w:rPr>
                <w:rFonts w:cstheme="minorHAnsi"/>
              </w:rPr>
              <w:t>Variable</w:t>
            </w:r>
          </w:p>
        </w:tc>
        <w:tc>
          <w:tcPr>
            <w:tcW w:w="2398" w:type="dxa"/>
          </w:tcPr>
          <w:p w:rsidR="0022082E" w:rsidRPr="00DF631D" w:rsidRDefault="0022082E" w:rsidP="00D75AB9">
            <w:pPr>
              <w:jc w:val="center"/>
              <w:rPr>
                <w:rFonts w:cstheme="minorHAnsi"/>
              </w:rPr>
            </w:pPr>
            <w:r w:rsidRPr="00DF631D">
              <w:rPr>
                <w:rFonts w:cstheme="minorHAnsi"/>
              </w:rPr>
              <w:t>Estimate (95% CI)</w:t>
            </w:r>
            <w:r>
              <w:rPr>
                <w:rFonts w:cstheme="minorHAnsi"/>
              </w:rPr>
              <w:t xml:space="preserve"> (transformed from log)</w:t>
            </w:r>
          </w:p>
        </w:tc>
        <w:tc>
          <w:tcPr>
            <w:tcW w:w="2398" w:type="dxa"/>
          </w:tcPr>
          <w:p w:rsidR="0022082E" w:rsidRPr="00DF631D" w:rsidRDefault="0022082E" w:rsidP="00D75AB9">
            <w:pPr>
              <w:jc w:val="center"/>
              <w:rPr>
                <w:rFonts w:cstheme="minorHAnsi"/>
              </w:rPr>
            </w:pPr>
            <w:r>
              <w:rPr>
                <w:rFonts w:cstheme="minorHAnsi"/>
              </w:rPr>
              <w:t>p</w:t>
            </w:r>
          </w:p>
        </w:tc>
        <w:tc>
          <w:tcPr>
            <w:tcW w:w="2398" w:type="dxa"/>
          </w:tcPr>
          <w:p w:rsidR="0022082E" w:rsidRDefault="0022082E" w:rsidP="00D75AB9">
            <w:pPr>
              <w:jc w:val="center"/>
              <w:rPr>
                <w:rFonts w:cstheme="minorHAnsi"/>
              </w:rPr>
            </w:pPr>
            <w:r w:rsidRPr="00DF631D">
              <w:rPr>
                <w:rFonts w:cstheme="minorHAnsi"/>
              </w:rPr>
              <w:t>Estimate (95% CI)</w:t>
            </w:r>
          </w:p>
          <w:p w:rsidR="0022082E" w:rsidRPr="00DF631D" w:rsidRDefault="0022082E" w:rsidP="00D75AB9">
            <w:pPr>
              <w:jc w:val="center"/>
              <w:rPr>
                <w:rFonts w:cstheme="minorHAnsi"/>
              </w:rPr>
            </w:pPr>
            <w:r>
              <w:rPr>
                <w:rFonts w:cstheme="minorHAnsi"/>
              </w:rPr>
              <w:t>(transformed from log)*</w:t>
            </w:r>
          </w:p>
        </w:tc>
        <w:tc>
          <w:tcPr>
            <w:tcW w:w="2399" w:type="dxa"/>
          </w:tcPr>
          <w:p w:rsidR="0022082E" w:rsidRPr="00700805" w:rsidRDefault="0022082E" w:rsidP="00D75AB9">
            <w:pPr>
              <w:jc w:val="center"/>
              <w:rPr>
                <w:rFonts w:cstheme="minorHAnsi"/>
              </w:rPr>
            </w:pPr>
            <w:r w:rsidRPr="00700805">
              <w:rPr>
                <w:rFonts w:cstheme="minorHAnsi"/>
              </w:rPr>
              <w:t>P</w:t>
            </w:r>
          </w:p>
        </w:tc>
      </w:tr>
      <w:tr w:rsidR="0022082E" w:rsidTr="00D75AB9">
        <w:tc>
          <w:tcPr>
            <w:tcW w:w="2398" w:type="dxa"/>
          </w:tcPr>
          <w:p w:rsidR="0022082E" w:rsidRPr="00700805" w:rsidRDefault="0022082E" w:rsidP="00D75AB9">
            <w:pPr>
              <w:jc w:val="center"/>
              <w:rPr>
                <w:rFonts w:cstheme="minorHAnsi"/>
              </w:rPr>
            </w:pPr>
            <w:r w:rsidRPr="00700805">
              <w:rPr>
                <w:rFonts w:cstheme="minorHAnsi"/>
              </w:rPr>
              <w:t>% population over 65 years old</w:t>
            </w:r>
          </w:p>
        </w:tc>
        <w:tc>
          <w:tcPr>
            <w:tcW w:w="2398" w:type="dxa"/>
            <w:vAlign w:val="bottom"/>
          </w:tcPr>
          <w:p w:rsidR="0022082E" w:rsidRPr="00DF631D" w:rsidRDefault="0022082E" w:rsidP="00D75AB9">
            <w:pPr>
              <w:jc w:val="center"/>
              <w:rPr>
                <w:rFonts w:cstheme="minorHAnsi"/>
              </w:rPr>
            </w:pPr>
            <w:r>
              <w:rPr>
                <w:rFonts w:ascii="Calibri" w:hAnsi="Calibri" w:cs="Calibri"/>
                <w:color w:val="000000"/>
              </w:rPr>
              <w:t>1.184 ± 0.064</w:t>
            </w:r>
          </w:p>
        </w:tc>
        <w:tc>
          <w:tcPr>
            <w:tcW w:w="2398" w:type="dxa"/>
            <w:vAlign w:val="center"/>
          </w:tcPr>
          <w:p w:rsidR="0022082E" w:rsidRPr="00DF631D" w:rsidRDefault="0022082E" w:rsidP="00D75AB9">
            <w:pPr>
              <w:jc w:val="center"/>
              <w:rPr>
                <w:rFonts w:cstheme="minorHAnsi"/>
              </w:rPr>
            </w:pPr>
            <w:r w:rsidRPr="00111692">
              <w:rPr>
                <w:rFonts w:ascii="Calibri" w:hAnsi="Calibri" w:cs="Calibri"/>
              </w:rPr>
              <w:t>P&lt;0.001</w:t>
            </w:r>
          </w:p>
        </w:tc>
        <w:tc>
          <w:tcPr>
            <w:tcW w:w="2398" w:type="dxa"/>
            <w:vAlign w:val="bottom"/>
          </w:tcPr>
          <w:p w:rsidR="0022082E" w:rsidRPr="00DF631D" w:rsidRDefault="0022082E" w:rsidP="00D75AB9">
            <w:pPr>
              <w:jc w:val="center"/>
              <w:rPr>
                <w:rFonts w:ascii="Calibri" w:hAnsi="Calibri" w:cs="Calibri"/>
              </w:rPr>
            </w:pPr>
            <w:r w:rsidRPr="00DF631D">
              <w:rPr>
                <w:rFonts w:ascii="Calibri" w:eastAsia="Times New Roman" w:hAnsi="Calibri" w:cs="Calibri"/>
                <w:color w:val="000000"/>
              </w:rPr>
              <w:t>1.1 ± 0.07</w:t>
            </w:r>
          </w:p>
        </w:tc>
        <w:tc>
          <w:tcPr>
            <w:tcW w:w="2399" w:type="dxa"/>
          </w:tcPr>
          <w:p w:rsidR="0022082E" w:rsidRPr="00700805" w:rsidRDefault="0022082E" w:rsidP="00D75AB9">
            <w:pPr>
              <w:jc w:val="center"/>
              <w:rPr>
                <w:rFonts w:cstheme="minorHAnsi"/>
              </w:rPr>
            </w:pPr>
            <w:r w:rsidRPr="00700805">
              <w:rPr>
                <w:rFonts w:cstheme="minorHAnsi"/>
              </w:rPr>
              <w:t>0.0</w:t>
            </w:r>
            <w:r>
              <w:rPr>
                <w:rFonts w:cstheme="minorHAnsi"/>
              </w:rPr>
              <w:t>09</w:t>
            </w:r>
          </w:p>
        </w:tc>
      </w:tr>
      <w:tr w:rsidR="0022082E" w:rsidTr="00D75AB9">
        <w:tc>
          <w:tcPr>
            <w:tcW w:w="2398" w:type="dxa"/>
          </w:tcPr>
          <w:p w:rsidR="0022082E" w:rsidRPr="00700805" w:rsidRDefault="0022082E" w:rsidP="00D75AB9">
            <w:pPr>
              <w:jc w:val="center"/>
              <w:rPr>
                <w:rFonts w:cstheme="minorHAnsi"/>
              </w:rPr>
            </w:pPr>
            <w:r w:rsidRPr="00700805">
              <w:rPr>
                <w:rFonts w:cstheme="minorHAnsi"/>
              </w:rPr>
              <w:t>Total 2020 population</w:t>
            </w:r>
          </w:p>
        </w:tc>
        <w:tc>
          <w:tcPr>
            <w:tcW w:w="2398" w:type="dxa"/>
            <w:vAlign w:val="bottom"/>
          </w:tcPr>
          <w:p w:rsidR="0022082E" w:rsidRPr="003F7803" w:rsidRDefault="0022082E" w:rsidP="00D75AB9">
            <w:pPr>
              <w:jc w:val="center"/>
              <w:rPr>
                <w:rFonts w:ascii="Calibri" w:hAnsi="Calibri" w:cs="Calibri"/>
                <w:color w:val="000000"/>
              </w:rPr>
            </w:pPr>
            <w:r>
              <w:rPr>
                <w:rFonts w:ascii="Calibri" w:hAnsi="Calibri" w:cs="Calibri"/>
                <w:color w:val="000000"/>
              </w:rPr>
              <w:t>0.99 ± 0.006</w:t>
            </w:r>
          </w:p>
        </w:tc>
        <w:tc>
          <w:tcPr>
            <w:tcW w:w="2398" w:type="dxa"/>
            <w:vAlign w:val="center"/>
          </w:tcPr>
          <w:p w:rsidR="0022082E" w:rsidRPr="00700805" w:rsidRDefault="0022082E" w:rsidP="00D75AB9">
            <w:pPr>
              <w:jc w:val="center"/>
              <w:rPr>
                <w:rFonts w:cstheme="minorHAnsi"/>
              </w:rPr>
            </w:pPr>
            <w:r w:rsidRPr="00111692">
              <w:rPr>
                <w:rFonts w:ascii="Calibri" w:hAnsi="Calibri" w:cs="Calibri"/>
              </w:rPr>
              <w:t>P&lt;0.001</w:t>
            </w:r>
          </w:p>
        </w:tc>
        <w:tc>
          <w:tcPr>
            <w:tcW w:w="2398" w:type="dxa"/>
            <w:vAlign w:val="bottom"/>
          </w:tcPr>
          <w:p w:rsidR="0022082E" w:rsidRPr="00FA4337" w:rsidRDefault="0022082E" w:rsidP="00D75AB9">
            <w:pPr>
              <w:jc w:val="center"/>
              <w:rPr>
                <w:rFonts w:ascii="Calibri" w:hAnsi="Calibri" w:cs="Calibri"/>
                <w:color w:val="000000"/>
              </w:rPr>
            </w:pPr>
            <w:r>
              <w:rPr>
                <w:rFonts w:ascii="Calibri" w:hAnsi="Calibri" w:cs="Calibri"/>
                <w:color w:val="000000"/>
              </w:rPr>
              <w:t>0.99 ± 0.0047</w:t>
            </w:r>
          </w:p>
        </w:tc>
        <w:tc>
          <w:tcPr>
            <w:tcW w:w="2399" w:type="dxa"/>
          </w:tcPr>
          <w:p w:rsidR="0022082E" w:rsidRPr="00700805" w:rsidRDefault="0022082E" w:rsidP="00D75AB9">
            <w:pPr>
              <w:jc w:val="center"/>
              <w:rPr>
                <w:rFonts w:cstheme="minorHAnsi"/>
              </w:rPr>
            </w:pPr>
            <w:r w:rsidRPr="00700805">
              <w:rPr>
                <w:rFonts w:cstheme="minorHAnsi"/>
              </w:rPr>
              <w:t>0.03</w:t>
            </w:r>
          </w:p>
        </w:tc>
      </w:tr>
      <w:tr w:rsidR="0022082E" w:rsidTr="00D75AB9">
        <w:tc>
          <w:tcPr>
            <w:tcW w:w="2398" w:type="dxa"/>
          </w:tcPr>
          <w:p w:rsidR="0022082E" w:rsidRPr="00700805" w:rsidRDefault="0022082E" w:rsidP="00D75AB9">
            <w:pPr>
              <w:jc w:val="center"/>
              <w:rPr>
                <w:rFonts w:cstheme="minorHAnsi"/>
              </w:rPr>
            </w:pPr>
            <w:r w:rsidRPr="00700805">
              <w:rPr>
                <w:rFonts w:cstheme="minorHAnsi"/>
              </w:rPr>
              <w:t>BCG vaccination in the preceding 15 years</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0.1 ± 0.054</w:t>
            </w:r>
          </w:p>
        </w:tc>
        <w:tc>
          <w:tcPr>
            <w:tcW w:w="2398" w:type="dxa"/>
            <w:vAlign w:val="center"/>
          </w:tcPr>
          <w:p w:rsidR="0022082E" w:rsidRPr="00700805" w:rsidRDefault="0022082E" w:rsidP="00D75AB9">
            <w:pPr>
              <w:jc w:val="center"/>
              <w:rPr>
                <w:rFonts w:cstheme="minorHAnsi"/>
              </w:rPr>
            </w:pPr>
            <w:r w:rsidRPr="00111692">
              <w:rPr>
                <w:rFonts w:ascii="Calibri" w:hAnsi="Calibri" w:cs="Calibri"/>
              </w:rPr>
              <w:t>P&lt;0.001</w:t>
            </w:r>
          </w:p>
        </w:tc>
        <w:tc>
          <w:tcPr>
            <w:tcW w:w="2398" w:type="dxa"/>
            <w:vAlign w:val="bottom"/>
          </w:tcPr>
          <w:p w:rsidR="0022082E" w:rsidRPr="00700805" w:rsidRDefault="0022082E" w:rsidP="00D75AB9">
            <w:pPr>
              <w:jc w:val="center"/>
              <w:rPr>
                <w:rFonts w:cstheme="minorHAnsi"/>
              </w:rPr>
            </w:pPr>
            <w:r w:rsidRPr="00DF631D">
              <w:rPr>
                <w:rFonts w:ascii="Calibri" w:eastAsia="Times New Roman" w:hAnsi="Calibri" w:cs="Calibri"/>
                <w:color w:val="000000"/>
              </w:rPr>
              <w:t>0.29 ± 0.18</w:t>
            </w:r>
          </w:p>
        </w:tc>
        <w:tc>
          <w:tcPr>
            <w:tcW w:w="2399" w:type="dxa"/>
          </w:tcPr>
          <w:p w:rsidR="0022082E" w:rsidRPr="00700805" w:rsidRDefault="0022082E" w:rsidP="00D75AB9">
            <w:pPr>
              <w:jc w:val="center"/>
              <w:rPr>
                <w:rFonts w:cstheme="minorHAnsi"/>
              </w:rPr>
            </w:pPr>
            <w:r w:rsidRPr="00700805">
              <w:rPr>
                <w:rFonts w:cstheme="minorHAnsi"/>
              </w:rPr>
              <w:t>0.0</w:t>
            </w:r>
            <w:r>
              <w:rPr>
                <w:rFonts w:cstheme="minorHAnsi"/>
              </w:rPr>
              <w:t>11</w:t>
            </w:r>
          </w:p>
        </w:tc>
      </w:tr>
      <w:tr w:rsidR="0022082E" w:rsidTr="00D75AB9">
        <w:tc>
          <w:tcPr>
            <w:tcW w:w="2398" w:type="dxa"/>
          </w:tcPr>
          <w:p w:rsidR="0022082E" w:rsidRPr="00700805" w:rsidRDefault="0022082E" w:rsidP="00D75AB9">
            <w:pPr>
              <w:jc w:val="center"/>
              <w:rPr>
                <w:rStyle w:val="CommentReference"/>
                <w:rFonts w:cstheme="minorHAnsi"/>
              </w:rPr>
            </w:pPr>
            <w:r>
              <w:rPr>
                <w:rStyle w:val="CommentReference"/>
                <w:rFonts w:cstheme="minorHAnsi"/>
              </w:rPr>
              <w:t>Population density</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1 ± 0.003</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0.78</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Style w:val="CommentReference"/>
                <w:rFonts w:cstheme="minorHAnsi"/>
              </w:rPr>
            </w:pPr>
            <w:r>
              <w:rPr>
                <w:rStyle w:val="CommentReference"/>
                <w:rFonts w:cstheme="minorHAnsi"/>
              </w:rPr>
              <w:t>Average temperature</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0.913 ± 0.04</w:t>
            </w:r>
          </w:p>
        </w:tc>
        <w:tc>
          <w:tcPr>
            <w:tcW w:w="2398" w:type="dxa"/>
            <w:vAlign w:val="center"/>
          </w:tcPr>
          <w:p w:rsidR="0022082E" w:rsidRPr="00700805" w:rsidRDefault="0022082E" w:rsidP="00D75AB9">
            <w:pPr>
              <w:jc w:val="center"/>
              <w:rPr>
                <w:rFonts w:cstheme="minorHAnsi"/>
              </w:rPr>
            </w:pPr>
            <w:r w:rsidRPr="00111692">
              <w:rPr>
                <w:rFonts w:ascii="Calibri" w:hAnsi="Calibri" w:cs="Calibri"/>
              </w:rPr>
              <w:t>P&lt;0.001</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Style w:val="CommentReference"/>
                <w:rFonts w:cstheme="minorHAnsi"/>
              </w:rPr>
            </w:pPr>
            <w:r>
              <w:rPr>
                <w:rStyle w:val="CommentReference"/>
                <w:rFonts w:cstheme="minorHAnsi"/>
              </w:rPr>
              <w:t>GDP per capita</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1 ± 0</w:t>
            </w:r>
          </w:p>
        </w:tc>
        <w:tc>
          <w:tcPr>
            <w:tcW w:w="2398" w:type="dxa"/>
            <w:vAlign w:val="center"/>
          </w:tcPr>
          <w:p w:rsidR="0022082E" w:rsidRPr="00700805" w:rsidRDefault="0022082E" w:rsidP="00D75AB9">
            <w:pPr>
              <w:jc w:val="center"/>
              <w:rPr>
                <w:rFonts w:cstheme="minorHAnsi"/>
              </w:rPr>
            </w:pPr>
            <w:r w:rsidRPr="00111692">
              <w:rPr>
                <w:rFonts w:ascii="Calibri" w:hAnsi="Calibri" w:cs="Calibri"/>
              </w:rPr>
              <w:t>P&lt;0.001</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Style w:val="CommentReference"/>
                <w:rFonts w:cstheme="minorHAnsi"/>
              </w:rPr>
            </w:pPr>
            <w:r>
              <w:rPr>
                <w:rStyle w:val="CommentReference"/>
                <w:rFonts w:cstheme="minorHAnsi"/>
              </w:rPr>
              <w:t>Stringency Index</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0.97 ± 0.022</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0.012</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Style w:val="CommentReference"/>
                <w:rFonts w:cstheme="minorHAnsi"/>
              </w:rPr>
            </w:pPr>
            <w:r w:rsidRPr="00700805">
              <w:rPr>
                <w:rFonts w:cstheme="minorHAnsi"/>
              </w:rPr>
              <w:t>BCG vaccination in the preceding 40 years</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0.235 ± 0.136</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0.001</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Style w:val="CommentReference"/>
                <w:rFonts w:cstheme="minorHAnsi"/>
              </w:rPr>
            </w:pPr>
            <w:r w:rsidRPr="00700805">
              <w:rPr>
                <w:rStyle w:val="CommentReference"/>
                <w:rFonts w:cstheme="minorHAnsi"/>
              </w:rPr>
              <w:t>BCG coverage in last 40 years</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0.988 ± 0.008</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0.007</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Style w:val="CommentReference"/>
                <w:rFonts w:cstheme="minorHAnsi"/>
              </w:rPr>
            </w:pPr>
            <w:r>
              <w:rPr>
                <w:rStyle w:val="CommentReference"/>
                <w:rFonts w:cstheme="minorHAnsi"/>
              </w:rPr>
              <w:t>Polio vaccine coverage</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1.009 ± 0.012</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0.16</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Fonts w:cstheme="minorHAnsi"/>
              </w:rPr>
            </w:pPr>
            <w:r>
              <w:rPr>
                <w:rStyle w:val="CommentReference"/>
                <w:rFonts w:cstheme="minorHAnsi"/>
              </w:rPr>
              <w:t>Polio vaccine duration</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1.009 ± 0.013</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0.18</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Fonts w:cstheme="minorHAnsi"/>
              </w:rPr>
            </w:pPr>
            <w:r>
              <w:rPr>
                <w:rStyle w:val="CommentReference"/>
                <w:rFonts w:cstheme="minorHAnsi"/>
              </w:rPr>
              <w:t>Measles vaccine coverage</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0.005 ± 0.008</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0.21</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r w:rsidR="0022082E" w:rsidTr="00D75AB9">
        <w:tc>
          <w:tcPr>
            <w:tcW w:w="2398" w:type="dxa"/>
          </w:tcPr>
          <w:p w:rsidR="0022082E" w:rsidRPr="00700805" w:rsidRDefault="0022082E" w:rsidP="00D75AB9">
            <w:pPr>
              <w:jc w:val="center"/>
              <w:rPr>
                <w:rFonts w:cstheme="minorHAnsi"/>
              </w:rPr>
            </w:pPr>
            <w:r>
              <w:rPr>
                <w:rStyle w:val="CommentReference"/>
                <w:rFonts w:cstheme="minorHAnsi"/>
              </w:rPr>
              <w:t>Measles vaccine duration</w:t>
            </w:r>
          </w:p>
        </w:tc>
        <w:tc>
          <w:tcPr>
            <w:tcW w:w="2398" w:type="dxa"/>
            <w:vAlign w:val="bottom"/>
          </w:tcPr>
          <w:p w:rsidR="0022082E" w:rsidRPr="00700805" w:rsidRDefault="0022082E" w:rsidP="00D75AB9">
            <w:pPr>
              <w:jc w:val="center"/>
              <w:rPr>
                <w:rFonts w:cstheme="minorHAnsi"/>
              </w:rPr>
            </w:pPr>
            <w:r>
              <w:rPr>
                <w:rFonts w:ascii="Calibri" w:hAnsi="Calibri" w:cs="Calibri"/>
                <w:color w:val="000000"/>
              </w:rPr>
              <w:t>0.0004 ± 0.0006</w:t>
            </w:r>
          </w:p>
        </w:tc>
        <w:tc>
          <w:tcPr>
            <w:tcW w:w="2398" w:type="dxa"/>
            <w:vAlign w:val="center"/>
          </w:tcPr>
          <w:p w:rsidR="0022082E" w:rsidRPr="00700805" w:rsidRDefault="0022082E" w:rsidP="00D75AB9">
            <w:pPr>
              <w:jc w:val="center"/>
              <w:rPr>
                <w:rFonts w:cstheme="minorHAnsi"/>
              </w:rPr>
            </w:pPr>
            <w:r>
              <w:rPr>
                <w:rFonts w:ascii="Calibri" w:hAnsi="Calibri" w:cs="Calibri"/>
                <w:color w:val="000000"/>
              </w:rPr>
              <w:t>0.16</w:t>
            </w:r>
          </w:p>
        </w:tc>
        <w:tc>
          <w:tcPr>
            <w:tcW w:w="2398" w:type="dxa"/>
          </w:tcPr>
          <w:p w:rsidR="0022082E" w:rsidRPr="00700805" w:rsidRDefault="0022082E" w:rsidP="00D75AB9">
            <w:pPr>
              <w:jc w:val="center"/>
              <w:rPr>
                <w:rFonts w:cstheme="minorHAnsi"/>
              </w:rPr>
            </w:pPr>
          </w:p>
        </w:tc>
        <w:tc>
          <w:tcPr>
            <w:tcW w:w="2399" w:type="dxa"/>
          </w:tcPr>
          <w:p w:rsidR="0022082E" w:rsidRPr="00700805" w:rsidRDefault="0022082E" w:rsidP="00D75AB9">
            <w:pPr>
              <w:jc w:val="center"/>
              <w:rPr>
                <w:rFonts w:cstheme="minorHAnsi"/>
              </w:rPr>
            </w:pPr>
            <w:r>
              <w:rPr>
                <w:rFonts w:cstheme="minorHAnsi"/>
              </w:rPr>
              <w:t>N</w:t>
            </w:r>
            <w:r>
              <w:t>ot significant</w:t>
            </w:r>
          </w:p>
        </w:tc>
      </w:tr>
    </w:tbl>
    <w:p w:rsidR="0022082E" w:rsidRPr="00005125" w:rsidRDefault="0022082E" w:rsidP="0022082E">
      <w:pPr>
        <w:rPr>
          <w:rFonts w:ascii="Arial" w:hAnsi="Arial" w:cs="Arial"/>
        </w:rPr>
      </w:pPr>
    </w:p>
    <w:p w:rsidR="0022082E" w:rsidRPr="00FE47E1" w:rsidRDefault="0022082E" w:rsidP="0022082E">
      <w:pPr>
        <w:rPr>
          <w:rFonts w:ascii="Arial" w:hAnsi="Arial" w:cs="Arial"/>
        </w:rPr>
      </w:pPr>
      <w:r w:rsidRPr="00FE47E1">
        <w:rPr>
          <w:rFonts w:ascii="Calibri" w:eastAsia="Times New Roman" w:hAnsi="Calibri" w:cs="Calibri"/>
          <w:color w:val="000000"/>
          <w:sz w:val="20"/>
          <w:szCs w:val="20"/>
        </w:rPr>
        <w:t>*The antilog of all estimates. For example, when % population above 65 yrs. increases by 1%, the deaths/</w:t>
      </w:r>
      <w:proofErr w:type="spellStart"/>
      <w:r w:rsidRPr="00FE47E1">
        <w:rPr>
          <w:rFonts w:ascii="Calibri" w:eastAsia="Times New Roman" w:hAnsi="Calibri" w:cs="Calibri"/>
          <w:color w:val="000000"/>
          <w:sz w:val="20"/>
          <w:szCs w:val="20"/>
        </w:rPr>
        <w:t>mn</w:t>
      </w:r>
      <w:proofErr w:type="spellEnd"/>
      <w:r w:rsidRPr="00FE47E1">
        <w:rPr>
          <w:rFonts w:ascii="Calibri" w:eastAsia="Times New Roman" w:hAnsi="Calibri" w:cs="Calibri"/>
          <w:color w:val="000000"/>
          <w:sz w:val="20"/>
          <w:szCs w:val="20"/>
        </w:rPr>
        <w:t xml:space="preserve"> on an average increase by 1.10 times, i.e., 10% (with a 95% CI of 1.02 to 1.18 or 2% to 18%). Likewise, when a country has BCG coverage in the last 15 years, the deaths/</w:t>
      </w:r>
      <w:proofErr w:type="spellStart"/>
      <w:r w:rsidRPr="00FE47E1">
        <w:rPr>
          <w:rFonts w:ascii="Calibri" w:eastAsia="Times New Roman" w:hAnsi="Calibri" w:cs="Calibri"/>
          <w:color w:val="000000"/>
          <w:sz w:val="20"/>
          <w:szCs w:val="20"/>
        </w:rPr>
        <w:t>mn</w:t>
      </w:r>
      <w:proofErr w:type="spellEnd"/>
      <w:r w:rsidRPr="00FE47E1">
        <w:rPr>
          <w:rFonts w:ascii="Calibri" w:eastAsia="Times New Roman" w:hAnsi="Calibri" w:cs="Calibri"/>
          <w:color w:val="000000"/>
          <w:sz w:val="20"/>
          <w:szCs w:val="20"/>
        </w:rPr>
        <w:t xml:space="preserve"> decreases by 0.29 times, i.e., 71% (with a 95% CI of 0.11 to 0.47 or 89% to 53%)</w:t>
      </w:r>
    </w:p>
    <w:p w:rsidR="00123072" w:rsidRDefault="00123072">
      <w:bookmarkStart w:id="0" w:name="_GoBack"/>
      <w:bookmarkEnd w:id="0"/>
    </w:p>
    <w:sectPr w:rsidR="0012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2E"/>
    <w:rsid w:val="000A4EDD"/>
    <w:rsid w:val="00123072"/>
    <w:rsid w:val="0022082E"/>
    <w:rsid w:val="002D2E2A"/>
    <w:rsid w:val="0058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BFE16-C9F9-4F43-891E-AC7EFBA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0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82E"/>
    <w:rPr>
      <w:sz w:val="16"/>
      <w:szCs w:val="16"/>
    </w:rPr>
  </w:style>
  <w:style w:type="table" w:styleId="TableGrid">
    <w:name w:val="Table Grid"/>
    <w:basedOn w:val="TableNormal"/>
    <w:uiPriority w:val="39"/>
    <w:rsid w:val="0022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Garg</dc:creator>
  <cp:keywords/>
  <dc:description/>
  <cp:lastModifiedBy>Sanya Garg</cp:lastModifiedBy>
  <cp:revision>1</cp:revision>
  <dcterms:created xsi:type="dcterms:W3CDTF">2020-06-13T11:55:00Z</dcterms:created>
  <dcterms:modified xsi:type="dcterms:W3CDTF">2020-06-13T11:56:00Z</dcterms:modified>
</cp:coreProperties>
</file>