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2A" w:rsidRDefault="00E07D2A">
      <w:pPr>
        <w:rPr>
          <w:rFonts w:ascii="Cambria" w:eastAsia="Cambria" w:hAnsi="Cambria" w:cs="Cambria"/>
          <w:b/>
          <w:color w:val="000000"/>
          <w:sz w:val="22"/>
          <w:szCs w:val="22"/>
          <w:lang w:bidi="ar"/>
        </w:rPr>
      </w:pPr>
    </w:p>
    <w:p w:rsidR="00E07D2A" w:rsidRDefault="002479B3">
      <w:pPr>
        <w:rPr>
          <w:rFonts w:ascii="Cambria" w:eastAsia="Cambria" w:hAnsi="Cambria" w:cs="Cambria"/>
          <w:b/>
          <w:color w:val="000000"/>
          <w:sz w:val="22"/>
          <w:szCs w:val="22"/>
          <w:lang w:bidi="ar"/>
        </w:rPr>
      </w:pPr>
      <w:bookmarkStart w:id="0" w:name="_GoBack"/>
      <w:bookmarkEnd w:id="0"/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  <w:lang w:bidi="ar"/>
        </w:rPr>
        <w:t>Table 1.</w:t>
      </w:r>
      <w:proofErr w:type="gramEnd"/>
      <w:r>
        <w:rPr>
          <w:rFonts w:ascii="Cambria" w:eastAsia="Cambria" w:hAnsi="Cambria" w:cs="Cambria"/>
          <w:b/>
          <w:color w:val="000000"/>
          <w:sz w:val="22"/>
          <w:szCs w:val="22"/>
          <w:lang w:bidi="ar"/>
        </w:rPr>
        <w:t xml:space="preserve"> Demographic information and group differences</w:t>
      </w:r>
    </w:p>
    <w:tbl>
      <w:tblPr>
        <w:tblpPr w:leftFromText="180" w:rightFromText="180" w:vertAnchor="text" w:horzAnchor="page" w:tblpXSpec="center" w:tblpY="202"/>
        <w:tblOverlap w:val="never"/>
        <w:tblW w:w="9240" w:type="dxa"/>
        <w:jc w:val="center"/>
        <w:tblBorders>
          <w:top w:val="single" w:sz="18" w:space="0" w:color="000000"/>
          <w:bottom w:val="single" w:sz="1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1290"/>
        <w:gridCol w:w="1380"/>
        <w:gridCol w:w="1289"/>
        <w:gridCol w:w="1234"/>
        <w:gridCol w:w="800"/>
        <w:gridCol w:w="895"/>
      </w:tblGrid>
      <w:tr w:rsidR="00E07D2A">
        <w:trPr>
          <w:trHeight w:val="323"/>
          <w:jc w:val="center"/>
        </w:trPr>
        <w:tc>
          <w:tcPr>
            <w:tcW w:w="2352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E07D2A">
            <w:pPr>
              <w:jc w:val="left"/>
              <w:rPr>
                <w:rFonts w:ascii="Calibri" w:eastAsia="宋体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IGD 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RGU 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kern w:val="0"/>
                <w:sz w:val="22"/>
                <w:szCs w:val="22"/>
                <w:lang w:bidi="ar"/>
              </w:rPr>
              <w:t>F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</w:tr>
      <w:tr w:rsidR="00E07D2A">
        <w:trPr>
          <w:trHeight w:val="312"/>
          <w:jc w:val="center"/>
        </w:trPr>
        <w:tc>
          <w:tcPr>
            <w:tcW w:w="2352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E07D2A">
            <w:pPr>
              <w:jc w:val="left"/>
              <w:rPr>
                <w:rFonts w:ascii="Calibri" w:eastAsia="宋体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Male </w:t>
            </w:r>
          </w:p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  <w:t>(n=29)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  <w:t>Female (n=25)</w:t>
            </w:r>
          </w:p>
        </w:tc>
        <w:tc>
          <w:tcPr>
            <w:tcW w:w="1289" w:type="dxa"/>
            <w:tcBorders>
              <w:top w:val="single" w:sz="8" w:space="0" w:color="000000"/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  <w:t>Male</w:t>
            </w:r>
          </w:p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(n=36)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Female </w:t>
            </w:r>
          </w:p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22"/>
                <w:szCs w:val="22"/>
                <w:lang w:bidi="ar"/>
              </w:rPr>
              <w:t>(n=21)</w:t>
            </w:r>
          </w:p>
        </w:tc>
        <w:tc>
          <w:tcPr>
            <w:tcW w:w="800" w:type="dxa"/>
            <w:vMerge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E07D2A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E07D2A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</w:p>
        </w:tc>
      </w:tr>
      <w:tr w:rsidR="00E07D2A">
        <w:trPr>
          <w:trHeight w:val="273"/>
          <w:jc w:val="center"/>
        </w:trPr>
        <w:tc>
          <w:tcPr>
            <w:tcW w:w="2352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left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Age (</w:t>
            </w:r>
            <w:proofErr w:type="spellStart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mean±SD</w:t>
            </w:r>
            <w:proofErr w:type="spellEnd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290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22.77</w:t>
            </w:r>
            <w:r>
              <w:rPr>
                <w:rStyle w:val="font11"/>
                <w:lang w:bidi="ar"/>
              </w:rPr>
              <w:t>±2.22</w:t>
            </w:r>
          </w:p>
        </w:tc>
        <w:tc>
          <w:tcPr>
            <w:tcW w:w="1380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21.25±1.56</w:t>
            </w:r>
          </w:p>
        </w:tc>
        <w:tc>
          <w:tcPr>
            <w:tcW w:w="1289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23.33</w:t>
            </w:r>
            <w:r>
              <w:rPr>
                <w:rStyle w:val="font11"/>
                <w:lang w:bidi="ar"/>
              </w:rPr>
              <w:t>±2.04</w:t>
            </w:r>
          </w:p>
        </w:tc>
        <w:tc>
          <w:tcPr>
            <w:tcW w:w="1234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22.37±1.88</w:t>
            </w:r>
          </w:p>
        </w:tc>
        <w:tc>
          <w:tcPr>
            <w:tcW w:w="800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0.032</w:t>
            </w:r>
          </w:p>
        </w:tc>
        <w:tc>
          <w:tcPr>
            <w:tcW w:w="895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0.992</w:t>
            </w:r>
          </w:p>
        </w:tc>
      </w:tr>
      <w:tr w:rsidR="00E07D2A">
        <w:trPr>
          <w:trHeight w:val="273"/>
          <w:jc w:val="center"/>
        </w:trPr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left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IAT score (</w:t>
            </w:r>
            <w:proofErr w:type="spellStart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mean±SD</w:t>
            </w:r>
            <w:proofErr w:type="spellEnd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74.86±12.33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66.84±10.07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31.86±9.31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53.81±11.32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52.175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0.000***</w:t>
            </w:r>
          </w:p>
        </w:tc>
      </w:tr>
      <w:tr w:rsidR="00E07D2A">
        <w:trPr>
          <w:trHeight w:val="327"/>
          <w:jc w:val="center"/>
        </w:trPr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left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DSM-5 score (</w:t>
            </w:r>
            <w:proofErr w:type="spellStart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mean±SD</w:t>
            </w:r>
            <w:proofErr w:type="spellEnd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 xml:space="preserve"> 5.80 ± 1.68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5.72 ± 1.07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 xml:space="preserve"> 2.45 ± 1.61 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2.41 ± 1.30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44.989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0.000***</w:t>
            </w:r>
          </w:p>
        </w:tc>
      </w:tr>
      <w:tr w:rsidR="00E07D2A">
        <w:trPr>
          <w:trHeight w:val="522"/>
          <w:jc w:val="center"/>
        </w:trPr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left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Game playing per week (hours) (</w:t>
            </w:r>
            <w:proofErr w:type="spellStart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mean±SD</w:t>
            </w:r>
            <w:proofErr w:type="spellEnd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E07D2A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18.33±2.66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17.50±3.39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18.17±1.83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17.33±2.33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0.197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0.898</w:t>
            </w:r>
          </w:p>
        </w:tc>
      </w:tr>
      <w:tr w:rsidR="00E07D2A">
        <w:trPr>
          <w:trHeight w:val="522"/>
          <w:jc w:val="center"/>
        </w:trPr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left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 xml:space="preserve">Gaming history (months) </w:t>
            </w: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(</w:t>
            </w:r>
            <w:proofErr w:type="spellStart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mean±SD</w:t>
            </w:r>
            <w:proofErr w:type="spellEnd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27.38±10.30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24.95±7.05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25.50±9.01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25.94±8.21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0.259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0.855</w:t>
            </w:r>
          </w:p>
        </w:tc>
      </w:tr>
      <w:tr w:rsidR="00E07D2A">
        <w:trPr>
          <w:trHeight w:val="558"/>
          <w:jc w:val="center"/>
        </w:trPr>
        <w:tc>
          <w:tcPr>
            <w:tcW w:w="2352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left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Educations (years) (</w:t>
            </w:r>
            <w:proofErr w:type="spellStart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mean±SD</w:t>
            </w:r>
            <w:proofErr w:type="spellEnd"/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290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14.72±1.41</w:t>
            </w:r>
          </w:p>
        </w:tc>
        <w:tc>
          <w:tcPr>
            <w:tcW w:w="1380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14.56±1.50</w:t>
            </w:r>
          </w:p>
        </w:tc>
        <w:tc>
          <w:tcPr>
            <w:tcW w:w="1289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15.22±1.31</w:t>
            </w:r>
          </w:p>
        </w:tc>
        <w:tc>
          <w:tcPr>
            <w:tcW w:w="1234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14.72±1.32</w:t>
            </w:r>
          </w:p>
        </w:tc>
        <w:tc>
          <w:tcPr>
            <w:tcW w:w="800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Cambria" w:eastAsia="Cambria" w:hAnsi="Cambria" w:cs="Cambria" w:hint="eastAsia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895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7D2A" w:rsidRDefault="002479B3">
            <w:pPr>
              <w:widowControl/>
              <w:jc w:val="center"/>
              <w:textAlignment w:val="bottom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22"/>
                <w:szCs w:val="22"/>
                <w:lang w:bidi="ar"/>
              </w:rPr>
              <w:t>0.509</w:t>
            </w:r>
          </w:p>
        </w:tc>
      </w:tr>
    </w:tbl>
    <w:p w:rsidR="00E07D2A" w:rsidRDefault="002479B3" w:rsidP="00F6652C">
      <w:pPr>
        <w:widowControl/>
        <w:ind w:leftChars="-200" w:left="-402" w:hangingChars="8" w:hanging="18"/>
        <w:jc w:val="left"/>
        <w:textAlignment w:val="bottom"/>
        <w:rPr>
          <w:rFonts w:ascii="Cambria" w:eastAsia="Cambria" w:hAnsi="Cambria" w:cs="Cambria"/>
          <w:color w:val="000000"/>
          <w:kern w:val="0"/>
          <w:sz w:val="22"/>
          <w:szCs w:val="22"/>
          <w:lang w:bidi="ar"/>
        </w:rPr>
      </w:pPr>
      <w:r>
        <w:rPr>
          <w:rFonts w:ascii="Cambria" w:eastAsia="Cambria" w:hAnsi="Cambria" w:cs="Cambria"/>
          <w:color w:val="000000"/>
          <w:kern w:val="0"/>
          <w:sz w:val="22"/>
          <w:szCs w:val="22"/>
          <w:lang w:bidi="ar"/>
        </w:rPr>
        <w:t xml:space="preserve">IGD, Internet gaming disorder; RGU, recreational Internet game users; </w:t>
      </w:r>
    </w:p>
    <w:p w:rsidR="00E07D2A" w:rsidRDefault="002479B3" w:rsidP="00F6652C">
      <w:pPr>
        <w:widowControl/>
        <w:ind w:leftChars="-200" w:left="-402" w:hangingChars="8" w:hanging="18"/>
        <w:jc w:val="left"/>
        <w:textAlignment w:val="bottom"/>
        <w:rPr>
          <w:rFonts w:ascii="Cambria" w:eastAsia="Cambria" w:hAnsi="Cambria" w:cs="Cambria"/>
          <w:color w:val="000000"/>
          <w:kern w:val="0"/>
          <w:sz w:val="22"/>
          <w:szCs w:val="22"/>
          <w:lang w:bidi="ar"/>
        </w:rPr>
      </w:pPr>
      <w:proofErr w:type="gramStart"/>
      <w:r>
        <w:rPr>
          <w:rFonts w:ascii="Cambria" w:eastAsia="Cambria" w:hAnsi="Cambria" w:cs="Cambria"/>
          <w:color w:val="000000"/>
          <w:kern w:val="0"/>
          <w:sz w:val="22"/>
          <w:szCs w:val="22"/>
          <w:lang w:bidi="ar"/>
        </w:rPr>
        <w:t xml:space="preserve">IAT, Internet addiction test; </w:t>
      </w:r>
      <w:r>
        <w:rPr>
          <w:rFonts w:ascii="Cambria" w:eastAsia="Cambria" w:hAnsi="Cambria" w:cs="Cambria"/>
          <w:color w:val="000000"/>
          <w:kern w:val="0"/>
          <w:sz w:val="22"/>
          <w:szCs w:val="22"/>
          <w:lang w:bidi="ar"/>
        </w:rPr>
        <w:t>∗∗∗</w:t>
      </w:r>
      <w:r>
        <w:rPr>
          <w:rFonts w:ascii="Cambria" w:eastAsia="Cambria" w:hAnsi="Cambria" w:cs="Cambria"/>
          <w:color w:val="000000"/>
          <w:kern w:val="0"/>
          <w:sz w:val="22"/>
          <w:szCs w:val="22"/>
          <w:lang w:bidi="ar"/>
        </w:rPr>
        <w:t>p &lt; 0.001.</w:t>
      </w:r>
      <w:proofErr w:type="gramEnd"/>
    </w:p>
    <w:p w:rsidR="00E07D2A" w:rsidRDefault="00E07D2A">
      <w:pPr>
        <w:rPr>
          <w:rFonts w:ascii="Cambria" w:eastAsia="Cambria" w:hAnsi="Cambria" w:cs="Cambria"/>
          <w:b/>
          <w:color w:val="000000"/>
          <w:sz w:val="22"/>
          <w:szCs w:val="22"/>
          <w:lang w:bidi="ar"/>
        </w:rPr>
      </w:pPr>
    </w:p>
    <w:sectPr w:rsidR="00E07D2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B3" w:rsidRDefault="002479B3" w:rsidP="00F6652C">
      <w:r>
        <w:separator/>
      </w:r>
    </w:p>
  </w:endnote>
  <w:endnote w:type="continuationSeparator" w:id="0">
    <w:p w:rsidR="002479B3" w:rsidRDefault="002479B3" w:rsidP="00F6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B3" w:rsidRDefault="002479B3" w:rsidP="00F6652C">
      <w:r>
        <w:separator/>
      </w:r>
    </w:p>
  </w:footnote>
  <w:footnote w:type="continuationSeparator" w:id="0">
    <w:p w:rsidR="002479B3" w:rsidRDefault="002479B3" w:rsidP="00F66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MDM2MLS0sDS2MDRX0lEKTi0uzszPAykwrAUAOaMoZywAAAA="/>
  </w:docVars>
  <w:rsids>
    <w:rsidRoot w:val="275C7230"/>
    <w:rsid w:val="002479B3"/>
    <w:rsid w:val="00E07D2A"/>
    <w:rsid w:val="00F6652C"/>
    <w:rsid w:val="178C705E"/>
    <w:rsid w:val="275C7230"/>
    <w:rsid w:val="43C63832"/>
    <w:rsid w:val="4CCD65C2"/>
    <w:rsid w:val="6D43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Cambria" w:eastAsia="Cambria" w:hAnsi="Cambria" w:cs="Cambria" w:hint="default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F66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65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6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65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Cambria" w:eastAsia="Cambria" w:hAnsi="Cambria" w:cs="Cambria" w:hint="default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F66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65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6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65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 Tea</dc:creator>
  <cp:lastModifiedBy>Lin</cp:lastModifiedBy>
  <cp:revision>2</cp:revision>
  <dcterms:created xsi:type="dcterms:W3CDTF">2019-08-19T11:05:00Z</dcterms:created>
  <dcterms:modified xsi:type="dcterms:W3CDTF">2019-08-19T11:05:00Z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