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56" w:afterLines="50"/>
        <w:ind w:left="105" w:hanging="105" w:hangingChars="50"/>
        <w:jc w:val="center"/>
        <w:rPr>
          <w:rFonts w:ascii="Times New Roman" w:hAnsi="Times New Roman" w:cs="Times New Roman"/>
          <w:b/>
          <w:bCs/>
          <w:kern w:val="0"/>
          <w:szCs w:val="21"/>
        </w:rPr>
      </w:pPr>
      <w:r>
        <w:rPr>
          <w:rFonts w:ascii="Times New Roman" w:hAnsi="Times New Roman" w:eastAsia="TimesNewRomanPSMT" w:cs="Times New Roman"/>
          <w:b/>
          <w:bCs/>
          <w:kern w:val="0"/>
          <w:szCs w:val="21"/>
        </w:rPr>
        <w:t xml:space="preserve">Table 1 </w:t>
      </w:r>
      <w:r>
        <w:rPr>
          <w:rFonts w:hint="eastAsia" w:ascii="Times New Roman" w:hAnsi="Times New Roman" w:eastAsia="TimesNewRomanPSMT" w:cs="Times New Roman"/>
          <w:b/>
          <w:bCs/>
          <w:kern w:val="0"/>
          <w:szCs w:val="21"/>
        </w:rPr>
        <w:t xml:space="preserve"> D</w:t>
      </w:r>
      <w:r>
        <w:rPr>
          <w:rFonts w:ascii="Times New Roman" w:hAnsi="Times New Roman" w:eastAsia="TimesNewRomanPSMT" w:cs="Times New Roman"/>
          <w:b/>
          <w:bCs/>
          <w:kern w:val="0"/>
          <w:szCs w:val="21"/>
        </w:rPr>
        <w:t>emographics and clinical characteristics of the patients at baseline and follow-ups</w:t>
      </w:r>
    </w:p>
    <w:tbl>
      <w:tblPr>
        <w:tblStyle w:val="4"/>
        <w:tblW w:w="9857" w:type="dxa"/>
        <w:tblInd w:w="2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2"/>
        <w:gridCol w:w="1277"/>
        <w:gridCol w:w="1227"/>
        <w:gridCol w:w="1490"/>
        <w:gridCol w:w="1515"/>
        <w:gridCol w:w="13"/>
        <w:gridCol w:w="1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762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18"/>
                <w:lang w:val="en-US" w:eastAsia="zh-CN"/>
              </w:rPr>
              <w:t>Demographic and clinical features</w:t>
            </w:r>
          </w:p>
        </w:tc>
        <w:tc>
          <w:tcPr>
            <w:tcW w:w="7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ind w:left="393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18"/>
                <w:lang w:val="en-US" w:eastAsia="zh-CN"/>
              </w:rPr>
              <w:t>Number (percentage) Or M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18"/>
                <w:szCs w:val="18"/>
                <w:lang w:val="en-US" w:eastAsia="zh-CN"/>
              </w:rPr>
              <w:t>ean</w:t>
            </w:r>
            <w:r>
              <w:rPr>
                <w:rFonts w:ascii="Times New Roman" w:hAnsi="Times New Roman" w:eastAsia="宋体" w:cs="Times New Roman"/>
                <w:b/>
                <w:bCs w:val="0"/>
                <w:color w:val="0D0D0D"/>
                <w:sz w:val="18"/>
                <w:szCs w:val="18"/>
              </w:rPr>
              <w:t>±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D0D0D"/>
                <w:sz w:val="18"/>
                <w:szCs w:val="18"/>
                <w:lang w:val="en-US" w:eastAsia="zh-CN"/>
              </w:rPr>
              <w:t>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762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ind w:left="23" w:leftChars="11" w:firstLine="1350" w:firstLineChars="750"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Baseline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N</w:t>
            </w: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=142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1 Month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N</w:t>
            </w: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=137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3 Months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N</w:t>
            </w: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=131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ind w:left="171"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6 Months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N</w:t>
            </w: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=128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12 Months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N</w:t>
            </w: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=115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76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23" w:leftChars="11" w:firstLine="360" w:firstLineChars="20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Age, years (Mean ± SD)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63.49±11.07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67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63.47±12.11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272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64.09±18.43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326"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62.89±7.31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63.66±10.03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24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Gender</w:t>
            </w:r>
          </w:p>
          <w:p>
            <w:pPr>
              <w:autoSpaceDE w:val="0"/>
              <w:autoSpaceDN w:val="0"/>
              <w:adjustRightInd w:val="0"/>
              <w:ind w:left="24" w:firstLine="360" w:firstLineChars="20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Male</w:t>
            </w:r>
          </w:p>
          <w:p>
            <w:pPr>
              <w:autoSpaceDE w:val="0"/>
              <w:autoSpaceDN w:val="0"/>
              <w:adjustRightInd w:val="0"/>
              <w:ind w:left="24" w:firstLine="360" w:firstLineChars="20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Female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69 (48.59%)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73 (51.41%)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67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67 (48.91%)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70 (51.09%)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left="259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63 (48.09%)</w:t>
            </w:r>
          </w:p>
          <w:p>
            <w:pPr>
              <w:autoSpaceDE w:val="0"/>
              <w:autoSpaceDN w:val="0"/>
              <w:adjustRightInd w:val="0"/>
              <w:ind w:left="259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68 (51.91%)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left="301"/>
              <w:jc w:val="center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62 (48.44%)</w:t>
            </w:r>
          </w:p>
          <w:p>
            <w:pPr>
              <w:autoSpaceDE w:val="0"/>
              <w:autoSpaceDN w:val="0"/>
              <w:adjustRightInd w:val="0"/>
              <w:ind w:left="301"/>
              <w:jc w:val="center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66 (51.56%)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55 (48.59%)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60 (51.41%)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24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Education</w:t>
            </w:r>
          </w:p>
          <w:p>
            <w:pPr>
              <w:autoSpaceDE w:val="0"/>
              <w:autoSpaceDN w:val="0"/>
              <w:adjustRightInd w:val="0"/>
              <w:ind w:left="24" w:firstLine="360" w:firstLineChars="20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Primary or lower</w:t>
            </w:r>
          </w:p>
          <w:p>
            <w:pPr>
              <w:autoSpaceDE w:val="0"/>
              <w:autoSpaceDN w:val="0"/>
              <w:adjustRightInd w:val="0"/>
              <w:ind w:left="24" w:firstLine="360" w:firstLineChars="20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Secondary</w:t>
            </w:r>
          </w:p>
          <w:p>
            <w:pPr>
              <w:autoSpaceDE w:val="0"/>
              <w:autoSpaceDN w:val="0"/>
              <w:adjustRightInd w:val="0"/>
              <w:ind w:left="24" w:firstLine="360" w:firstLineChars="20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Tertiary or higher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33 (23.24%)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51 (35.92%)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58 (40.85%)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left="67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32 (23.36%)</w:t>
            </w:r>
          </w:p>
          <w:p>
            <w:pPr>
              <w:autoSpaceDE w:val="0"/>
              <w:autoSpaceDN w:val="0"/>
              <w:adjustRightInd w:val="0"/>
              <w:ind w:left="67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47 (34.31%)</w:t>
            </w:r>
          </w:p>
          <w:p>
            <w:pPr>
              <w:autoSpaceDE w:val="0"/>
              <w:autoSpaceDN w:val="0"/>
              <w:adjustRightInd w:val="0"/>
              <w:ind w:left="67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58 (42.34%)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left="259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30 (22.90%)</w:t>
            </w:r>
          </w:p>
          <w:p>
            <w:pPr>
              <w:autoSpaceDE w:val="0"/>
              <w:autoSpaceDN w:val="0"/>
              <w:adjustRightInd w:val="0"/>
              <w:ind w:left="259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45 (34.35%)</w:t>
            </w:r>
          </w:p>
          <w:p>
            <w:pPr>
              <w:autoSpaceDE w:val="0"/>
              <w:autoSpaceDN w:val="0"/>
              <w:adjustRightInd w:val="0"/>
              <w:ind w:left="259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56 (42.75%)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left="301"/>
              <w:jc w:val="center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29 (22.66%)</w:t>
            </w:r>
          </w:p>
          <w:p>
            <w:pPr>
              <w:autoSpaceDE w:val="0"/>
              <w:autoSpaceDN w:val="0"/>
              <w:adjustRightInd w:val="0"/>
              <w:ind w:left="301"/>
              <w:jc w:val="center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45 (35.16%)</w:t>
            </w:r>
          </w:p>
          <w:p>
            <w:pPr>
              <w:autoSpaceDE w:val="0"/>
              <w:autoSpaceDN w:val="0"/>
              <w:adjustRightInd w:val="0"/>
              <w:ind w:left="301"/>
              <w:jc w:val="center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54 (42.19%)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24 (20.87%)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39 (33.91%)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52 (45.22%)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24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Marital status</w:t>
            </w:r>
          </w:p>
          <w:p>
            <w:pPr>
              <w:autoSpaceDE w:val="0"/>
              <w:autoSpaceDN w:val="0"/>
              <w:adjustRightInd w:val="0"/>
              <w:ind w:left="24" w:firstLine="360" w:firstLineChars="20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Married</w:t>
            </w:r>
          </w:p>
          <w:p>
            <w:pPr>
              <w:autoSpaceDE w:val="0"/>
              <w:autoSpaceDN w:val="0"/>
              <w:adjustRightInd w:val="0"/>
              <w:ind w:left="24" w:firstLine="360" w:firstLineChars="20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Not currently married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98 (69.01%)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44 (30.99%)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left="67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96 (70.07%)</w:t>
            </w:r>
          </w:p>
          <w:p>
            <w:pPr>
              <w:autoSpaceDE w:val="0"/>
              <w:autoSpaceDN w:val="0"/>
              <w:adjustRightInd w:val="0"/>
              <w:ind w:left="67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41 (29.93%)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left="259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97 (74.05%)</w:t>
            </w:r>
          </w:p>
          <w:p>
            <w:pPr>
              <w:autoSpaceDE w:val="0"/>
              <w:autoSpaceDN w:val="0"/>
              <w:adjustRightInd w:val="0"/>
              <w:ind w:left="2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34 (25.95%)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left="301"/>
              <w:jc w:val="center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95 (74.22%)</w:t>
            </w:r>
          </w:p>
          <w:p>
            <w:pPr>
              <w:autoSpaceDE w:val="0"/>
              <w:autoSpaceDN w:val="0"/>
              <w:adjustRightInd w:val="0"/>
              <w:ind w:left="30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33 (25.78%)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93 (80.87%)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22 (19.13%)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24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Area of residence</w:t>
            </w:r>
          </w:p>
          <w:p>
            <w:pPr>
              <w:autoSpaceDE w:val="0"/>
              <w:autoSpaceDN w:val="0"/>
              <w:adjustRightInd w:val="0"/>
              <w:ind w:left="24" w:firstLine="360" w:firstLineChars="20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Urban</w:t>
            </w:r>
          </w:p>
          <w:p>
            <w:pPr>
              <w:autoSpaceDE w:val="0"/>
              <w:autoSpaceDN w:val="0"/>
              <w:adjustRightInd w:val="0"/>
              <w:ind w:left="24" w:firstLine="360" w:firstLineChars="20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Rural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114 (80.28%)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28 (19.72%)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left="54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114(83.21%)</w:t>
            </w:r>
          </w:p>
          <w:p>
            <w:pPr>
              <w:autoSpaceDE w:val="0"/>
              <w:autoSpaceDN w:val="0"/>
              <w:adjustRightInd w:val="0"/>
              <w:ind w:left="67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23 (16.79%)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left="184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109 (83.21%)</w:t>
            </w:r>
          </w:p>
          <w:p>
            <w:pPr>
              <w:autoSpaceDE w:val="0"/>
              <w:autoSpaceDN w:val="0"/>
              <w:adjustRightInd w:val="0"/>
              <w:ind w:left="259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22 (16.79%)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left="251"/>
              <w:jc w:val="center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106 (82.81%)</w:t>
            </w:r>
          </w:p>
          <w:p>
            <w:pPr>
              <w:autoSpaceDE w:val="0"/>
              <w:autoSpaceDN w:val="0"/>
              <w:adjustRightInd w:val="0"/>
              <w:ind w:firstLine="360" w:firstLineChars="200"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22 (17.19%)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94 (81.74%)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21 (18.26%)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24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Income</w:t>
            </w:r>
          </w:p>
          <w:p>
            <w:pPr>
              <w:autoSpaceDE w:val="0"/>
              <w:autoSpaceDN w:val="0"/>
              <w:adjustRightInd w:val="0"/>
              <w:ind w:left="24" w:firstLine="360" w:firstLineChars="20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≥10,000RMB</w:t>
            </w:r>
            <w:r>
              <w:rPr>
                <w:rFonts w:hint="eastAsia" w:ascii="Times New Roman" w:hAnsi="Times New Roman" w:eastAsia="宋体" w:cs="Times New Roman"/>
                <w:color w:val="0D0D0D"/>
                <w:sz w:val="18"/>
                <w:szCs w:val="18"/>
              </w:rPr>
              <w:t>/month</w:t>
            </w:r>
          </w:p>
          <w:p>
            <w:pPr>
              <w:autoSpaceDE w:val="0"/>
              <w:autoSpaceDN w:val="0"/>
              <w:adjustRightInd w:val="0"/>
              <w:ind w:left="24" w:firstLine="360" w:firstLineChars="20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</w:rPr>
              <w:t>＜</w:t>
            </w: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10,000RMB</w:t>
            </w:r>
            <w:r>
              <w:rPr>
                <w:rFonts w:hint="eastAsia" w:ascii="Times New Roman" w:hAnsi="Times New Roman" w:eastAsia="宋体" w:cs="Times New Roman"/>
                <w:color w:val="0D0D0D"/>
                <w:sz w:val="18"/>
                <w:szCs w:val="18"/>
              </w:rPr>
              <w:t>/month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62 (43.66%)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80 (56.34%)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left="67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57(41.61%)</w:t>
            </w:r>
          </w:p>
          <w:p>
            <w:pPr>
              <w:autoSpaceDE w:val="0"/>
              <w:autoSpaceDN w:val="0"/>
              <w:adjustRightInd w:val="0"/>
              <w:ind w:left="67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80 (58.39%)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56 (42.75%)</w:t>
            </w:r>
          </w:p>
          <w:p>
            <w:pPr>
              <w:autoSpaceDE w:val="0"/>
              <w:autoSpaceDN w:val="0"/>
              <w:adjustRightInd w:val="0"/>
              <w:ind w:firstLine="180" w:firstLineChars="10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75 (57.25%)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0" w:firstLineChars="200"/>
              <w:jc w:val="center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55 (42.97%)</w:t>
            </w:r>
          </w:p>
          <w:p>
            <w:pPr>
              <w:autoSpaceDE w:val="0"/>
              <w:autoSpaceDN w:val="0"/>
              <w:adjustRightInd w:val="0"/>
              <w:ind w:firstLine="360" w:firstLineChars="200"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73 (57.03%)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45 (39.13%)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70 (60.87%)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Eye affected by AMD</w:t>
            </w:r>
          </w:p>
          <w:p>
            <w:pPr>
              <w:autoSpaceDE w:val="0"/>
              <w:autoSpaceDN w:val="0"/>
              <w:adjustRightInd w:val="0"/>
              <w:ind w:left="24" w:firstLine="360" w:firstLineChars="20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R</w:t>
            </w: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ight/Left eye only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112 (68.31%)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109 (79.56%)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107 (81.68%)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106 (82.81%)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93 (80.87%)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23" w:leftChars="11" w:firstLine="360" w:firstLineChars="200"/>
              <w:jc w:val="left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Both eyes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30 (31.69%)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28 (20.44%)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13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24 (18.32%)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22 (17.19%)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  <w:t>22 (19.13%)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23" w:leftChars="11" w:firstLine="360" w:firstLineChars="20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bookmarkStart w:id="0" w:name="OLE_LINK194"/>
            <w:bookmarkStart w:id="1" w:name="OLE_LINK195"/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VA treated eye</w:t>
            </w:r>
            <w:bookmarkEnd w:id="0"/>
            <w:bookmarkEnd w:id="1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0.29±0.03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4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0.32±0.02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146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0.38±0.11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0.41±0.18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0.40±0.19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23" w:leftChars="11" w:firstLine="360" w:firstLineChars="20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BCVA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0.51±0.12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4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0.48±0.03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146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0.58±0.07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0.62±0.21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0.58±0.16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ind w:left="23" w:leftChars="11" w:firstLine="360" w:firstLineChars="20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No. of intravitreal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injections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1440" w:firstLineChars="80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.02±0.15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180" w:firstLineChars="100"/>
              <w:jc w:val="left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.07±0.25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.80±0.76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  <w:t>4.70±0.85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eastAsia="TimesNewRomanPSMT" w:cs="Times New Roman"/>
          <w:b/>
          <w:bCs/>
          <w:kern w:val="0"/>
          <w:szCs w:val="21"/>
        </w:rPr>
      </w:pPr>
    </w:p>
    <w:tbl>
      <w:tblPr>
        <w:tblStyle w:val="9"/>
        <w:tblpPr w:leftFromText="180" w:rightFromText="180" w:vertAnchor="page" w:horzAnchor="margin" w:tblpX="1" w:tblpY="2806"/>
        <w:tblW w:w="14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2483"/>
        <w:gridCol w:w="2483"/>
        <w:gridCol w:w="2483"/>
        <w:gridCol w:w="2483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" w:firstLine="271" w:firstLineChars="150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18"/>
                <w:lang w:val="en-US" w:eastAsia="zh-CN"/>
              </w:rPr>
              <w:t>Demographic and clinical features</w:t>
            </w:r>
          </w:p>
        </w:tc>
        <w:tc>
          <w:tcPr>
            <w:tcW w:w="12415" w:type="dxa"/>
            <w:gridSpan w:val="5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15" w:leftChars="7"/>
              <w:jc w:val="center"/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VFQ-25 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"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Baseline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N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=142)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0" w:firstLineChars="20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 month follow-up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N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=137)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3 months follow-up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N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=131)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84" w:leftChars="40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6 months follow-up </w:t>
            </w:r>
          </w:p>
          <w:p>
            <w:pPr>
              <w:autoSpaceDE w:val="0"/>
              <w:autoSpaceDN w:val="0"/>
              <w:adjustRightInd w:val="0"/>
              <w:ind w:left="84" w:leftChars="40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N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=128)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15" w:leftChars="7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12 months follow-up </w:t>
            </w:r>
          </w:p>
          <w:p>
            <w:pPr>
              <w:autoSpaceDE w:val="0"/>
              <w:autoSpaceDN w:val="0"/>
              <w:adjustRightInd w:val="0"/>
              <w:ind w:left="15" w:leftChars="7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N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=115)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Gender                                   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"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Male                                     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60.00±15.0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9（n=69）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64.68±16.27*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（n=67）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57.83±12.03**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（n=63）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59.35±13.47**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（n=62）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TimesNewRomanPSMT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62.26±16.97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（n=55）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"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Female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58.23±17.54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（n=73）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58.93±15.89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（n=70）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51.12±14.38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（n=68）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53.51±11.16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（n=66）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56.71±19.25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（n=60）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"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Primary or lower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55.41±18.99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（n=33）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58.18±19.51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（n=32）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42.83±9.01**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（n=30）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54.23±13.46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（n=29）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58.54±19.22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（n=24）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"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Secondary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57.46±17.51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（n=51）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65.35±15.07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（n=47）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57.26±10.74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（n=45）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57.21±13.20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（n=45）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60.27±15.54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（n=39）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Tertiary or higher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62.62±12.97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（n=58）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60.79±14.93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（n=58）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58.17±13.67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（n=56）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56.74±11.76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（n=54）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59.37±18.33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（n=52）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"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Married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63.12±17.23**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（n=98）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63.37±16.44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（n=96）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54.47±13.67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（n=97）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57.19±12.90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（n=95）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58.34±18.29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（n=93）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"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Not currently married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50.11±9.4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（n=44）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57.93±15.41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（n=41）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53.98±13.88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（n=34）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53.90±11.64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（n=33）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63.71±18.28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Area of residence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"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Urban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61.02±16.64**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（n=114）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61.80±14.08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（n=114）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55.15±14.58*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（n=109）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57.21±12.90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（n=106）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60.04±18.37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（n=94）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"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Rural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51.26±12.69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（n=28）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61.47±24.87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（n=23）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50.36±6.67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（n=22）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52.16±10.51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（n=22）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56.33±18.25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Income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"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≥10,000RMB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69.52±13.64**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（n=62）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71.46±13.09**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（n=57）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65.02±11.35**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（n=56）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60.98±13.69**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（n=55）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65.29±16.32**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（n=45）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"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&lt;10,000RMB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51.01±13.53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（n=80）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54.82±14.76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（n=80）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46.37±9.05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（n=75）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52.84±10.57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（n=73）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55.56±18.64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（n=70）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Eye affected by AMD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"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Right/Left eye only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61.23±16.05**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（n=112）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63.97±15.52**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（n=109）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55.63±14.30**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（n=107）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56.83±13.14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（n=106）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61.16±17.46*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（n=93）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"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Both eyes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51.12±15.26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（n=30）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53.10±16.55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（n=28）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48.62±8.54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（n=24）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53.97±9.71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（n=22）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51.78±20.33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（n=22）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Times New Roman" w:hAnsi="Times New Roman" w:cs="Times New Roman"/>
          <w:kern w:val="0"/>
          <w:szCs w:val="21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Times New Roman" w:hAnsi="Times New Roman" w:cs="Times New Roman"/>
          <w:kern w:val="0"/>
          <w:szCs w:val="21"/>
        </w:rPr>
      </w:pPr>
      <w:r>
        <w:rPr>
          <w:rFonts w:ascii="Times New Roman" w:hAnsi="Times New Roman" w:eastAsia="TimesNewRomanPSMT" w:cs="Times New Roman"/>
          <w:b/>
          <w:bCs/>
          <w:kern w:val="0"/>
          <w:szCs w:val="21"/>
        </w:rPr>
        <w:t>Table 2   Comparison of mean NEI VFQ-25 according to categorical variables at baseline and follow-ups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Times New Roman" w:hAnsi="Times New Roman" w:cs="Times New Roman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Times New Roman" w:hAnsi="Times New Roman" w:cs="Times New Roman"/>
          <w:color w:val="0D0D0D"/>
          <w:kern w:val="0"/>
          <w:szCs w:val="21"/>
        </w:rPr>
      </w:pPr>
      <w:r>
        <w:rPr>
          <w:rFonts w:ascii="Times New Roman" w:hAnsi="Times New Roman" w:eastAsia="TimesNewRomanPSMT" w:cs="Times New Roman"/>
          <w:b/>
          <w:bCs/>
          <w:kern w:val="0"/>
          <w:szCs w:val="21"/>
        </w:rPr>
        <w:t>Table 3</w:t>
      </w:r>
      <w:r>
        <w:rPr>
          <w:rFonts w:hint="eastAsia" w:ascii="Times New Roman" w:hAnsi="Times New Roman" w:eastAsia="TimesNewRomanPSMT" w:cs="Times New Roman"/>
          <w:b/>
          <w:bCs/>
          <w:kern w:val="0"/>
          <w:szCs w:val="21"/>
        </w:rPr>
        <w:t xml:space="preserve">  </w:t>
      </w:r>
      <w:r>
        <w:rPr>
          <w:rFonts w:ascii="Times New Roman" w:hAnsi="Times New Roman" w:eastAsia="TimesNewRomanPSMT" w:cs="Times New Roman"/>
          <w:b/>
          <w:bCs/>
          <w:kern w:val="0"/>
          <w:szCs w:val="21"/>
        </w:rPr>
        <w:t xml:space="preserve"> Correlations between total score of the NEI VFQ-25 and continuous variables at baseline and follow-ups</w:t>
      </w:r>
    </w:p>
    <w:tbl>
      <w:tblPr>
        <w:tblStyle w:val="10"/>
        <w:tblW w:w="9424" w:type="dxa"/>
        <w:tblInd w:w="30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1230"/>
        <w:gridCol w:w="1338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67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NEI VFQ-25 score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Baseline</w:t>
            </w:r>
          </w:p>
        </w:tc>
        <w:tc>
          <w:tcPr>
            <w:tcW w:w="13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 month follow-up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3 months follow-up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 months follow-up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12 months follow-up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tcBorders>
              <w:top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Age   </w:t>
            </w:r>
          </w:p>
        </w:tc>
        <w:tc>
          <w:tcPr>
            <w:tcW w:w="1230" w:type="dxa"/>
            <w:tcBorders>
              <w:top w:val="single" w:color="auto" w:sz="4" w:space="0"/>
            </w:tcBorders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0.151</w:t>
            </w:r>
          </w:p>
        </w:tc>
        <w:tc>
          <w:tcPr>
            <w:tcW w:w="1338" w:type="dxa"/>
            <w:tcBorders>
              <w:top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0.147</w:t>
            </w:r>
          </w:p>
        </w:tc>
        <w:tc>
          <w:tcPr>
            <w:tcW w:w="1383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-0.050</w:t>
            </w:r>
          </w:p>
        </w:tc>
        <w:tc>
          <w:tcPr>
            <w:tcW w:w="1383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-0.070</w:t>
            </w:r>
          </w:p>
        </w:tc>
        <w:tc>
          <w:tcPr>
            <w:tcW w:w="1383" w:type="dxa"/>
            <w:tcBorders>
              <w:top w:val="single" w:color="auto" w:sz="4" w:space="0"/>
            </w:tcBorders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707" w:type="dxa"/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VA treated eye</w:t>
            </w:r>
          </w:p>
        </w:tc>
        <w:tc>
          <w:tcPr>
            <w:tcW w:w="1230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0.409**</w:t>
            </w:r>
          </w:p>
        </w:tc>
        <w:tc>
          <w:tcPr>
            <w:tcW w:w="1338" w:type="dxa"/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0.231**</w:t>
            </w:r>
          </w:p>
        </w:tc>
        <w:tc>
          <w:tcPr>
            <w:tcW w:w="1383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0.586**</w:t>
            </w:r>
          </w:p>
        </w:tc>
        <w:tc>
          <w:tcPr>
            <w:tcW w:w="1383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0.063</w:t>
            </w:r>
          </w:p>
        </w:tc>
        <w:tc>
          <w:tcPr>
            <w:tcW w:w="1383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0.193*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BCVA</w:t>
            </w:r>
          </w:p>
        </w:tc>
        <w:tc>
          <w:tcPr>
            <w:tcW w:w="1230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0.608**</w:t>
            </w:r>
          </w:p>
        </w:tc>
        <w:tc>
          <w:tcPr>
            <w:tcW w:w="1338" w:type="dxa"/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0.419**</w:t>
            </w:r>
          </w:p>
        </w:tc>
        <w:tc>
          <w:tcPr>
            <w:tcW w:w="1383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0.550**</w:t>
            </w:r>
          </w:p>
        </w:tc>
        <w:tc>
          <w:tcPr>
            <w:tcW w:w="1383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0.412**</w:t>
            </w:r>
          </w:p>
        </w:tc>
        <w:tc>
          <w:tcPr>
            <w:tcW w:w="1383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0.443**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No. of intravitreal injections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-0.045</w:t>
            </w: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-0.125</w:t>
            </w:r>
          </w:p>
        </w:tc>
        <w:tc>
          <w:tcPr>
            <w:tcW w:w="1383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0.115</w:t>
            </w:r>
          </w:p>
        </w:tc>
        <w:tc>
          <w:tcPr>
            <w:tcW w:w="1383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Anxiety</w:t>
            </w:r>
          </w:p>
        </w:tc>
        <w:tc>
          <w:tcPr>
            <w:tcW w:w="1230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-0.130</w:t>
            </w:r>
          </w:p>
        </w:tc>
        <w:tc>
          <w:tcPr>
            <w:tcW w:w="133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- 0.537**</w:t>
            </w: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- 0.201*</w:t>
            </w: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- 0.363**</w:t>
            </w: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- 0.341**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Depression</w:t>
            </w:r>
          </w:p>
        </w:tc>
        <w:tc>
          <w:tcPr>
            <w:tcW w:w="1230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-0.270**</w:t>
            </w:r>
          </w:p>
        </w:tc>
        <w:tc>
          <w:tcPr>
            <w:tcW w:w="133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- 0.533**</w:t>
            </w: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- 0.237**</w:t>
            </w: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- 0.798**</w:t>
            </w: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- 0.656**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Positive Coping</w:t>
            </w:r>
          </w:p>
        </w:tc>
        <w:tc>
          <w:tcPr>
            <w:tcW w:w="1230" w:type="dxa"/>
            <w:vAlign w:val="center"/>
          </w:tcPr>
          <w:p>
            <w:pPr>
              <w:ind w:firstLine="180" w:firstLineChars="10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0.053</w:t>
            </w:r>
          </w:p>
        </w:tc>
        <w:tc>
          <w:tcPr>
            <w:tcW w:w="1338" w:type="dxa"/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0.068</w:t>
            </w:r>
          </w:p>
        </w:tc>
        <w:tc>
          <w:tcPr>
            <w:tcW w:w="1383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0.140</w:t>
            </w:r>
          </w:p>
        </w:tc>
        <w:tc>
          <w:tcPr>
            <w:tcW w:w="1383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0.363**</w:t>
            </w:r>
          </w:p>
        </w:tc>
        <w:tc>
          <w:tcPr>
            <w:tcW w:w="1383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Negative Coping</w:t>
            </w:r>
          </w:p>
        </w:tc>
        <w:tc>
          <w:tcPr>
            <w:tcW w:w="1230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-0.259**</w:t>
            </w:r>
          </w:p>
        </w:tc>
        <w:tc>
          <w:tcPr>
            <w:tcW w:w="133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- 0.075</w:t>
            </w: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- 0.001</w:t>
            </w: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- 0.328**</w:t>
            </w: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-0.081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Social Support</w:t>
            </w:r>
          </w:p>
        </w:tc>
        <w:tc>
          <w:tcPr>
            <w:tcW w:w="1230" w:type="dxa"/>
            <w:vAlign w:val="center"/>
          </w:tcPr>
          <w:p>
            <w:pPr>
              <w:ind w:firstLine="180" w:firstLineChars="10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0.007</w:t>
            </w:r>
          </w:p>
        </w:tc>
        <w:tc>
          <w:tcPr>
            <w:tcW w:w="1338" w:type="dxa"/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0.165</w:t>
            </w:r>
          </w:p>
        </w:tc>
        <w:tc>
          <w:tcPr>
            <w:tcW w:w="1383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0.285**</w:t>
            </w:r>
          </w:p>
        </w:tc>
        <w:tc>
          <w:tcPr>
            <w:tcW w:w="1383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0.565**</w:t>
            </w:r>
          </w:p>
        </w:tc>
        <w:tc>
          <w:tcPr>
            <w:tcW w:w="1383" w:type="dxa"/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0.427**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tcBorders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Self-efficacy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ind w:firstLine="180" w:firstLineChars="10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0.051</w:t>
            </w:r>
          </w:p>
        </w:tc>
        <w:tc>
          <w:tcPr>
            <w:tcW w:w="1338" w:type="dxa"/>
            <w:tcBorders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0.272**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0.300**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0.336**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0.616**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TimesNewRomanPSMT" w:cs="Times New Roman"/>
          <w:kern w:val="0"/>
          <w:szCs w:val="21"/>
        </w:rPr>
      </w:pPr>
    </w:p>
    <w:p>
      <w:pPr>
        <w:autoSpaceDE w:val="0"/>
        <w:autoSpaceDN w:val="0"/>
        <w:adjustRightInd w:val="0"/>
        <w:spacing w:after="156" w:afterLines="50"/>
        <w:jc w:val="center"/>
        <w:rPr>
          <w:rFonts w:ascii="Times New Roman" w:hAnsi="Times New Roman" w:eastAsia="TimesNewRomanPSMT" w:cs="Times New Roman"/>
          <w:kern w:val="0"/>
          <w:szCs w:val="21"/>
        </w:rPr>
      </w:pPr>
      <w:r>
        <w:rPr>
          <w:rFonts w:ascii="Times New Roman" w:hAnsi="Times New Roman" w:eastAsia="TimesNewRomanPSMT" w:cs="Times New Roman"/>
          <w:b/>
          <w:bCs/>
          <w:kern w:val="0"/>
          <w:szCs w:val="21"/>
        </w:rPr>
        <w:t>Table 4. Linear regression analysis of baseline predictors of quality of life at baseline and follow-ups</w:t>
      </w:r>
    </w:p>
    <w:tbl>
      <w:tblPr>
        <w:tblStyle w:val="4"/>
        <w:tblW w:w="12239" w:type="dxa"/>
        <w:tblInd w:w="10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552"/>
        <w:gridCol w:w="1149"/>
        <w:gridCol w:w="1352"/>
        <w:gridCol w:w="1149"/>
        <w:gridCol w:w="997"/>
        <w:gridCol w:w="156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552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90" w:firstLineChars="5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Unstandardized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Coefficients     B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90" w:firstLineChars="5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Std.Error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Standardized</w:t>
            </w:r>
          </w:p>
          <w:p>
            <w:pPr>
              <w:ind w:firstLine="90" w:firstLineChars="50"/>
              <w:jc w:val="center"/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C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oefficients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Beta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90" w:firstLineChars="5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t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90" w:firstLineChars="5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sig.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90" w:firstLineChars="5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95% Confidence interval for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90" w:firstLineChars="50"/>
              <w:jc w:val="center"/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90" w:firstLineChars="50"/>
              <w:jc w:val="center"/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90" w:firstLineChars="50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90" w:firstLineChars="50"/>
              <w:jc w:val="center"/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90" w:firstLineChars="50"/>
              <w:jc w:val="center"/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90" w:firstLineChars="50"/>
              <w:jc w:val="center"/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90" w:firstLineChars="50"/>
              <w:jc w:val="center"/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39" w:type="dxa"/>
            <w:gridSpan w:val="8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bookmarkStart w:id="2" w:name="RANGE!A4:H44"/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Baseline</w:t>
            </w:r>
            <w:bookmarkEnd w:id="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(Constant)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79.843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6.135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　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13.015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67.712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91.975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BCVA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24.499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3.494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.458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7.012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17.589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31.408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Income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-8.652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2.204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-.263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-3.926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-13.010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-4.294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Depression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-7.454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2.304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-.182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-3.235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-12.010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-2.898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VA treated eye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4.290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2.119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.122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2.025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8.480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101.000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39" w:type="dxa"/>
            <w:gridSpan w:val="8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1 Month follow-up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(Constant)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84.703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6.122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　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13.836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72.590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96.815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BCVA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11.851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3.651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.237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3.246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4.627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19.075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Income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-7.287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2.387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-.228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-3.052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-12.011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-2.563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Depression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-.529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.235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-.231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-2.247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-.994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39" w:type="dxa"/>
            <w:gridSpan w:val="8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3 Months follow-up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(Constant)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60.453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6.748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　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8.958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47.092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73.815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Anxiety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-.732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.100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-.495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-7.288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-.931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VA treated eye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34.764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5.160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.551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6.738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24.549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44.980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Social Support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.278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.053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.272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5.216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.384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Self-Efficacy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.684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.136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.316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5.034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.415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Income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-6.337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1.399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-.230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-4.530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-9.106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-3.567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Education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3.158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.702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.182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4.497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1.767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4.548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Depression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-.637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.188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-.279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-3.383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-.264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-1.010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BCVA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11.508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3.811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.231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3.020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19.053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3.963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Area of residence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-4.835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1.906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-.133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-2.537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-1.061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-8.609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Gender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-2.786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1.151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-.102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-2.422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-5.064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39" w:type="dxa"/>
            <w:gridSpan w:val="8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6 Months follow-up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(Constant)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105.511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11.282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　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9.352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83.169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127.854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Depression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-1.974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.179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-1.690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-11.025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-2.329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-1.620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Anxiety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1.902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.275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.945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6.910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1.357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2.447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Negative coping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-1.397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.270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-.325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-5.175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-1.931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Social Support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.430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.096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.275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4.467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.240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Positive coping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.823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.189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.243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4.350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.448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1.198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Gender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-6.563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1.553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-.261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-4.227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-9.638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-3.488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Self-Efficacy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-.606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.141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-.264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4.307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-.885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BCVA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14.622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3.728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.247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3.922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22.004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7.240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Income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-3.466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1.439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-.136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-2.408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-6.316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39" w:type="dxa"/>
            <w:gridSpan w:val="8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D0D0D"/>
                <w:kern w:val="0"/>
                <w:sz w:val="18"/>
                <w:szCs w:val="18"/>
              </w:rPr>
              <w:t>12 Months follow-up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(Constant)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26.270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10.321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　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2.545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5.814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46.726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Self–Efficacy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1.082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.187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.424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5.785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.711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1.452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BCVA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19.478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4.658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.285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4.181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10.245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28.710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Depression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-.316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.114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-.196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-2.759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-.542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Eye affected by AMD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-8.737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3.216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-.188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-2.717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-15.112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-2.363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 xml:space="preserve">  Social Support</w:t>
            </w:r>
          </w:p>
        </w:tc>
        <w:tc>
          <w:tcPr>
            <w:tcW w:w="1552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.215</w:t>
            </w:r>
          </w:p>
        </w:tc>
        <w:tc>
          <w:tcPr>
            <w:tcW w:w="1149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.093</w:t>
            </w:r>
          </w:p>
        </w:tc>
        <w:tc>
          <w:tcPr>
            <w:tcW w:w="1352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.173</w:t>
            </w:r>
          </w:p>
        </w:tc>
        <w:tc>
          <w:tcPr>
            <w:tcW w:w="1149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2.302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.023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.030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.400</w:t>
            </w:r>
          </w:p>
        </w:tc>
      </w:tr>
    </w:tbl>
    <w:p>
      <w:pPr>
        <w:autoSpaceDE w:val="0"/>
        <w:autoSpaceDN w:val="0"/>
        <w:adjustRightInd w:val="0"/>
        <w:spacing w:after="156" w:afterLines="50"/>
        <w:rPr>
          <w:rFonts w:ascii="Times New Roman" w:hAnsi="Times New Roman" w:cs="Times New Roman"/>
          <w:kern w:val="0"/>
          <w:szCs w:val="21"/>
        </w:rPr>
      </w:pPr>
    </w:p>
    <w:p/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3146571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A6"/>
    <w:rsid w:val="00053378"/>
    <w:rsid w:val="000F69D7"/>
    <w:rsid w:val="002662D4"/>
    <w:rsid w:val="003658BF"/>
    <w:rsid w:val="003F1030"/>
    <w:rsid w:val="005D4210"/>
    <w:rsid w:val="005E0F59"/>
    <w:rsid w:val="006F72B8"/>
    <w:rsid w:val="007C4742"/>
    <w:rsid w:val="0092645A"/>
    <w:rsid w:val="00974D3E"/>
    <w:rsid w:val="009A28A6"/>
    <w:rsid w:val="009D3638"/>
    <w:rsid w:val="00E04931"/>
    <w:rsid w:val="00F736EF"/>
    <w:rsid w:val="1AD9453C"/>
    <w:rsid w:val="2C034C14"/>
    <w:rsid w:val="3E12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网格型2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54AF9-1172-44E3-8572-AAA5024861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1236</Words>
  <Characters>7051</Characters>
  <Lines>58</Lines>
  <Paragraphs>16</Paragraphs>
  <TotalTime>2</TotalTime>
  <ScaleCrop>false</ScaleCrop>
  <LinksUpToDate>false</LinksUpToDate>
  <CharactersWithSpaces>8271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2020-02-10T09:53:00Z</dcterms:created>
  <dc:creator>Windows 用户</dc:creator>
  <cp:lastModifiedBy>Zzzz华</cp:lastModifiedBy>
  <dcterms:modified xsi:type="dcterms:W3CDTF">2020-02-10T13:54:26Z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