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D" w:rsidRPr="00292123" w:rsidRDefault="0019706D" w:rsidP="0019706D">
      <w:pPr>
        <w:autoSpaceDE w:val="0"/>
        <w:autoSpaceDN w:val="0"/>
        <w:adjustRightInd w:val="0"/>
        <w:snapToGrid w:val="0"/>
        <w:spacing w:line="480" w:lineRule="auto"/>
        <w:rPr>
          <w:b/>
          <w:szCs w:val="21"/>
        </w:rPr>
      </w:pPr>
      <w:r w:rsidRPr="00292123">
        <w:rPr>
          <w:b/>
          <w:szCs w:val="21"/>
        </w:rPr>
        <w:t>Table 1 Chest HRCT scoring criteria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685"/>
      </w:tblGrid>
      <w:tr w:rsidR="0019706D" w:rsidRPr="00292123" w:rsidTr="003F50AD"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Score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Lesions and lung segments</w:t>
            </w:r>
          </w:p>
        </w:tc>
      </w:tr>
      <w:tr w:rsidR="0019706D" w:rsidRPr="00292123" w:rsidTr="003F50AD">
        <w:tc>
          <w:tcPr>
            <w:tcW w:w="1668" w:type="dxa"/>
            <w:tcBorders>
              <w:top w:val="single" w:sz="4" w:space="0" w:color="auto"/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Severity score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Parenchymal abnormalities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1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Ground glass opacities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Irregularities in the pleural margins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3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Septal/ </w:t>
            </w:r>
            <w:proofErr w:type="spellStart"/>
            <w:r w:rsidRPr="00292123">
              <w:rPr>
                <w:szCs w:val="21"/>
              </w:rPr>
              <w:t>Subpleural</w:t>
            </w:r>
            <w:proofErr w:type="spellEnd"/>
            <w:r w:rsidRPr="00292123">
              <w:rPr>
                <w:szCs w:val="21"/>
              </w:rPr>
              <w:t xml:space="preserve"> lines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4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Honeycombing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5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proofErr w:type="spellStart"/>
            <w:r w:rsidRPr="00292123">
              <w:rPr>
                <w:szCs w:val="21"/>
              </w:rPr>
              <w:t>Subpleural</w:t>
            </w:r>
            <w:proofErr w:type="spellEnd"/>
            <w:r w:rsidRPr="00292123">
              <w:rPr>
                <w:szCs w:val="21"/>
              </w:rPr>
              <w:t xml:space="preserve"> cysts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Extent score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>Number of lung segments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1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1-3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2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4-9</w:t>
            </w:r>
          </w:p>
        </w:tc>
      </w:tr>
      <w:tr w:rsidR="0019706D" w:rsidRPr="00292123" w:rsidTr="003F50AD">
        <w:tc>
          <w:tcPr>
            <w:tcW w:w="1668" w:type="dxa"/>
            <w:tcBorders>
              <w:left w:val="nil"/>
              <w:bottom w:val="single" w:sz="12" w:space="0" w:color="auto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 3</w:t>
            </w:r>
          </w:p>
        </w:tc>
        <w:tc>
          <w:tcPr>
            <w:tcW w:w="3685" w:type="dxa"/>
            <w:tcBorders>
              <w:left w:val="nil"/>
              <w:bottom w:val="single" w:sz="12" w:space="0" w:color="auto"/>
              <w:right w:val="nil"/>
            </w:tcBorders>
          </w:tcPr>
          <w:p w:rsidR="0019706D" w:rsidRPr="00292123" w:rsidRDefault="0019706D" w:rsidP="003F50A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Cs w:val="21"/>
              </w:rPr>
            </w:pPr>
            <w:r w:rsidRPr="00292123">
              <w:rPr>
                <w:szCs w:val="21"/>
              </w:rPr>
              <w:t xml:space="preserve">  &gt;9</w:t>
            </w:r>
          </w:p>
        </w:tc>
      </w:tr>
    </w:tbl>
    <w:p w:rsidR="0019706D" w:rsidRPr="00292123" w:rsidRDefault="0019706D" w:rsidP="0019706D">
      <w:pPr>
        <w:adjustRightInd w:val="0"/>
        <w:snapToGrid w:val="0"/>
        <w:spacing w:line="480" w:lineRule="auto"/>
        <w:rPr>
          <w:szCs w:val="21"/>
        </w:rPr>
      </w:pPr>
    </w:p>
    <w:p w:rsidR="0019706D" w:rsidRPr="00292123" w:rsidRDefault="0019706D" w:rsidP="0019706D">
      <w:pPr>
        <w:adjustRightInd w:val="0"/>
        <w:snapToGrid w:val="0"/>
        <w:spacing w:line="480" w:lineRule="auto"/>
        <w:rPr>
          <w:szCs w:val="21"/>
        </w:rPr>
      </w:pPr>
      <w:r w:rsidRPr="00292123">
        <w:rPr>
          <w:szCs w:val="21"/>
        </w:rPr>
        <w:t>HRCT score = severity score + extent score (0-30). HRCT: high resolution computed tomography.</w:t>
      </w: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Pr="00292123" w:rsidRDefault="0019706D" w:rsidP="0019706D">
      <w:pPr>
        <w:adjustRightInd w:val="0"/>
        <w:snapToGrid w:val="0"/>
        <w:spacing w:line="480" w:lineRule="auto"/>
        <w:rPr>
          <w:b/>
        </w:rPr>
      </w:pPr>
      <w:r w:rsidRPr="00292123">
        <w:rPr>
          <w:b/>
        </w:rPr>
        <w:t xml:space="preserve">Table 2 Cough symptom scoring criteria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3878"/>
      </w:tblGrid>
      <w:tr w:rsidR="0019706D" w:rsidRPr="00292123" w:rsidTr="003F50AD">
        <w:tc>
          <w:tcPr>
            <w:tcW w:w="959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Score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Daytime cough symptom score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Night-time cough symptom score</w:t>
            </w:r>
          </w:p>
        </w:tc>
      </w:tr>
      <w:tr w:rsidR="0019706D" w:rsidRPr="00292123" w:rsidTr="003F50AD">
        <w:tc>
          <w:tcPr>
            <w:tcW w:w="959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0</w:t>
            </w: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no cough during the day</w:t>
            </w:r>
          </w:p>
        </w:tc>
        <w:tc>
          <w:tcPr>
            <w:tcW w:w="3878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 xml:space="preserve">no cough during the night </w:t>
            </w:r>
          </w:p>
        </w:tc>
      </w:tr>
      <w:tr w:rsidR="0019706D" w:rsidRPr="00292123" w:rsidTr="003F50AD">
        <w:tc>
          <w:tcPr>
            <w:tcW w:w="95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</w:t>
            </w:r>
          </w:p>
        </w:tc>
        <w:tc>
          <w:tcPr>
            <w:tcW w:w="368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cough for infrequent short periods</w:t>
            </w:r>
          </w:p>
        </w:tc>
        <w:tc>
          <w:tcPr>
            <w:tcW w:w="387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short cough when falling asleep/infrequent nocturnal cough</w:t>
            </w:r>
          </w:p>
        </w:tc>
      </w:tr>
      <w:tr w:rsidR="0019706D" w:rsidRPr="00292123" w:rsidTr="003F50AD">
        <w:tc>
          <w:tcPr>
            <w:tcW w:w="959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</w:t>
            </w:r>
          </w:p>
        </w:tc>
        <w:tc>
          <w:tcPr>
            <w:tcW w:w="3685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frequent coughing, which did interfere with usual daytime activities</w:t>
            </w:r>
          </w:p>
        </w:tc>
        <w:tc>
          <w:tcPr>
            <w:tcW w:w="3878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mildly interfere with nocturnal sleep due to coughs</w:t>
            </w:r>
          </w:p>
        </w:tc>
      </w:tr>
      <w:tr w:rsidR="0019706D" w:rsidRPr="00292123" w:rsidTr="003F50AD">
        <w:tc>
          <w:tcPr>
            <w:tcW w:w="959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>frequent coughing, which did severely interfere with usual daytime activities</w:t>
            </w:r>
          </w:p>
        </w:tc>
        <w:tc>
          <w:tcPr>
            <w:tcW w:w="3878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jc w:val="left"/>
            </w:pPr>
            <w:r w:rsidRPr="00292123">
              <w:t xml:space="preserve">severely interfere with nocturnal sleep due to coughs </w:t>
            </w:r>
          </w:p>
        </w:tc>
      </w:tr>
    </w:tbl>
    <w:p w:rsidR="0019706D" w:rsidRPr="00C856D2" w:rsidRDefault="0019706D" w:rsidP="0019706D">
      <w:pPr>
        <w:adjustRightInd w:val="0"/>
        <w:snapToGrid w:val="0"/>
        <w:spacing w:line="480" w:lineRule="auto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  <w:r w:rsidRPr="00292123">
        <w:t>Total cough symptom score</w:t>
      </w:r>
      <w:r>
        <w:rPr>
          <w:rFonts w:hint="eastAsia"/>
        </w:rPr>
        <w:t xml:space="preserve"> = </w:t>
      </w:r>
      <w:r w:rsidRPr="00292123">
        <w:t>Daytime cough symptom score</w:t>
      </w:r>
      <w:r>
        <w:rPr>
          <w:rFonts w:hint="eastAsia"/>
        </w:rPr>
        <w:t xml:space="preserve"> + </w:t>
      </w:r>
      <w:r w:rsidRPr="00292123">
        <w:t>Night-time cough symptom score</w:t>
      </w: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Default="0019706D" w:rsidP="0019706D">
      <w:pPr>
        <w:autoSpaceDE w:val="0"/>
        <w:autoSpaceDN w:val="0"/>
        <w:adjustRightInd w:val="0"/>
        <w:snapToGrid w:val="0"/>
        <w:spacing w:line="480" w:lineRule="auto"/>
        <w:jc w:val="left"/>
        <w:rPr>
          <w:color w:val="000000"/>
          <w:szCs w:val="21"/>
        </w:rPr>
      </w:pPr>
    </w:p>
    <w:p w:rsidR="0019706D" w:rsidRPr="00292123" w:rsidRDefault="0019706D" w:rsidP="0019706D">
      <w:pPr>
        <w:adjustRightInd w:val="0"/>
        <w:snapToGrid w:val="0"/>
        <w:spacing w:line="480" w:lineRule="auto"/>
        <w:rPr>
          <w:b/>
        </w:rPr>
      </w:pPr>
      <w:r w:rsidRPr="00292123">
        <w:rPr>
          <w:b/>
        </w:rPr>
        <w:t>Table 3 Patient general clinical data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701"/>
        <w:gridCol w:w="1701"/>
      </w:tblGrid>
      <w:tr w:rsidR="0019706D" w:rsidRPr="00292123" w:rsidTr="003F50AD">
        <w:trPr>
          <w:trHeight w:val="317"/>
        </w:trPr>
        <w:tc>
          <w:tcPr>
            <w:tcW w:w="3369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IPF </w:t>
            </w:r>
            <w:r w:rsidRPr="00292123">
              <w:rPr>
                <w:color w:val="000000"/>
                <w:szCs w:val="21"/>
              </w:rPr>
              <w:t>(n=23)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CTD-ILD </w:t>
            </w:r>
            <w:r w:rsidRPr="00292123">
              <w:rPr>
                <w:color w:val="000000"/>
                <w:szCs w:val="21"/>
              </w:rPr>
              <w:t>(n=21)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 xml:space="preserve">Control </w:t>
            </w:r>
            <w:r w:rsidRPr="00292123">
              <w:rPr>
                <w:color w:val="000000"/>
                <w:szCs w:val="21"/>
              </w:rPr>
              <w:t>(n=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0</w:t>
            </w:r>
            <w:r w:rsidRPr="00292123">
              <w:rPr>
                <w:color w:val="000000"/>
                <w:szCs w:val="21"/>
              </w:rPr>
              <w:t>)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Men/women (ratio)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21/2 (10.5:1) *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7/14 (1:2)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14/16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Age (mean ± SD), year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62 ± 8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60 ± 11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t>61</w:t>
            </w:r>
            <w:r>
              <w:rPr>
                <w:rFonts w:hint="eastAsia"/>
              </w:rPr>
              <w:t xml:space="preserve"> </w:t>
            </w:r>
            <w:r w:rsidRPr="00292123">
              <w:t xml:space="preserve">± </w:t>
            </w:r>
            <w:r>
              <w:t>9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Smoker, n (%)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17 (73.9) *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 (14.3)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 w:rsidRPr="00292123">
              <w:t>(</w:t>
            </w:r>
            <w:r>
              <w:t>16.7</w:t>
            </w:r>
            <w:r w:rsidRPr="00292123">
              <w:t>)</w:t>
            </w:r>
          </w:p>
        </w:tc>
      </w:tr>
      <w:tr w:rsidR="0019706D" w:rsidRPr="00292123" w:rsidTr="003F50AD">
        <w:trPr>
          <w:trHeight w:val="328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Disease duration (mean ± SD),week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28 ± 21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21 ± 21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CRP (mg/L)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7.5 ± 11.3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8.0 ± 11.1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ESR (mm/h)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32 ± 23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28 ± 19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PaO</w:t>
            </w:r>
            <w:r w:rsidRPr="00292123">
              <w:rPr>
                <w:vertAlign w:val="subscript"/>
              </w:rPr>
              <w:t xml:space="preserve">2 </w:t>
            </w:r>
            <w:r w:rsidRPr="00292123">
              <w:t>(mmHg)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80.5 ± 15.2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84.1 ± 11.3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PaCO</w:t>
            </w:r>
            <w:r w:rsidRPr="00292123">
              <w:rPr>
                <w:vertAlign w:val="subscript"/>
              </w:rPr>
              <w:t xml:space="preserve">2 </w:t>
            </w:r>
            <w:r w:rsidRPr="00292123">
              <w:t>(mmHg)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39.0 ± 3.8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39.7 ± 2.5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SaO</w:t>
            </w:r>
            <w:r w:rsidRPr="00292123">
              <w:rPr>
                <w:vertAlign w:val="subscript"/>
              </w:rPr>
              <w:t xml:space="preserve">2 </w:t>
            </w:r>
            <w:r w:rsidRPr="00292123">
              <w:t>(%)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95.1 ± 5.1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96.3 ± 2.1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28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FVC (L)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2.15 ± 0.90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1.94 ± 0.75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FVC, % </w:t>
            </w:r>
            <w:proofErr w:type="spellStart"/>
            <w:r w:rsidRPr="00292123">
              <w:t>pred</w:t>
            </w:r>
            <w:proofErr w:type="spellEnd"/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76.5 ± 28.2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65.1 ± 18.7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DLCO, % </w:t>
            </w:r>
            <w:proofErr w:type="spellStart"/>
            <w:r w:rsidRPr="00292123">
              <w:t>pred</w:t>
            </w:r>
            <w:proofErr w:type="spellEnd"/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58.2 ± 26.6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56.7 ± 24.6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Chest HRCT score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17.5 ± 7.6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16.1 ± 7.5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Daytime cough symptom score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1.26 ± 0.45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1.24 ± 0.44</w:t>
            </w:r>
          </w:p>
        </w:tc>
        <w:tc>
          <w:tcPr>
            <w:tcW w:w="170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17"/>
        </w:trPr>
        <w:tc>
          <w:tcPr>
            <w:tcW w:w="3369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Nighttime cough symptom score</w:t>
            </w:r>
          </w:p>
        </w:tc>
        <w:tc>
          <w:tcPr>
            <w:tcW w:w="1701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0.65 ± 0.57</w:t>
            </w:r>
          </w:p>
        </w:tc>
        <w:tc>
          <w:tcPr>
            <w:tcW w:w="1701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0.81 ± 0.68</w:t>
            </w:r>
          </w:p>
        </w:tc>
        <w:tc>
          <w:tcPr>
            <w:tcW w:w="1701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  <w:tr w:rsidR="0019706D" w:rsidRPr="00292123" w:rsidTr="003F50AD">
        <w:trPr>
          <w:trHeight w:val="328"/>
        </w:trPr>
        <w:tc>
          <w:tcPr>
            <w:tcW w:w="3369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Total cough symptom score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1.91 ± 0.90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2.05 ± 0.97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NA</w:t>
            </w:r>
          </w:p>
        </w:tc>
      </w:tr>
    </w:tbl>
    <w:p w:rsidR="0019706D" w:rsidRPr="00292123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  <w:jc w:val="left"/>
      </w:pPr>
      <w:r>
        <w:rPr>
          <w:rFonts w:hint="eastAsia"/>
        </w:rPr>
        <w:t>Control: healthy individuals.</w:t>
      </w:r>
      <w:r w:rsidRPr="00292123">
        <w:t xml:space="preserve"> IPF</w:t>
      </w:r>
      <w:r>
        <w:rPr>
          <w:rFonts w:hint="eastAsia"/>
        </w:rPr>
        <w:t xml:space="preserve"> = i</w:t>
      </w:r>
      <w:r w:rsidRPr="00563173">
        <w:t>diopathic pulmonary fibrosis</w:t>
      </w:r>
      <w:r>
        <w:rPr>
          <w:rFonts w:hint="eastAsia"/>
        </w:rPr>
        <w:t xml:space="preserve">, </w:t>
      </w:r>
      <w:r w:rsidRPr="00292123">
        <w:t>CTD-ILD</w:t>
      </w:r>
      <w:r>
        <w:rPr>
          <w:rFonts w:hint="eastAsia"/>
        </w:rPr>
        <w:t xml:space="preserve"> = </w:t>
      </w:r>
      <w:r w:rsidRPr="00563173">
        <w:t>connective tissue disease-related interstitial lung disease</w:t>
      </w:r>
      <w:r>
        <w:rPr>
          <w:rFonts w:hint="eastAsia"/>
        </w:rPr>
        <w:t xml:space="preserve">, </w:t>
      </w:r>
      <w:r w:rsidRPr="00663433">
        <w:rPr>
          <w:szCs w:val="21"/>
        </w:rPr>
        <w:t>CRP</w:t>
      </w:r>
      <w:r>
        <w:rPr>
          <w:rFonts w:hint="eastAsia"/>
          <w:szCs w:val="21"/>
        </w:rPr>
        <w:t xml:space="preserve"> = </w:t>
      </w:r>
      <w:r w:rsidRPr="00663433">
        <w:rPr>
          <w:szCs w:val="21"/>
        </w:rPr>
        <w:t>c-reactive protein</w:t>
      </w:r>
      <w:r>
        <w:rPr>
          <w:rFonts w:hint="eastAsia"/>
          <w:color w:val="333333"/>
          <w:szCs w:val="21"/>
        </w:rPr>
        <w:t xml:space="preserve">, ESR = </w:t>
      </w:r>
      <w:r>
        <w:rPr>
          <w:color w:val="333333"/>
        </w:rPr>
        <w:t>erythrocyte sedimentation rate</w:t>
      </w:r>
      <w:r>
        <w:rPr>
          <w:rFonts w:hint="eastAsia"/>
          <w:color w:val="333333"/>
        </w:rPr>
        <w:t xml:space="preserve">, </w:t>
      </w:r>
      <w:r w:rsidRPr="00663433">
        <w:rPr>
          <w:color w:val="333333"/>
        </w:rPr>
        <w:t>PaO</w:t>
      </w:r>
      <w:r w:rsidRPr="00663433">
        <w:rPr>
          <w:color w:val="333333"/>
          <w:vertAlign w:val="subscript"/>
        </w:rPr>
        <w:t>2</w:t>
      </w:r>
      <w:r>
        <w:rPr>
          <w:rFonts w:hint="eastAsia"/>
          <w:color w:val="333333"/>
        </w:rPr>
        <w:t xml:space="preserve"> = </w:t>
      </w:r>
      <w:r w:rsidRPr="00663433">
        <w:rPr>
          <w:color w:val="333333"/>
        </w:rPr>
        <w:t>partial pressure of oxygen</w:t>
      </w:r>
      <w:r>
        <w:rPr>
          <w:rFonts w:hint="eastAsia"/>
          <w:color w:val="333333"/>
        </w:rPr>
        <w:t xml:space="preserve">, </w:t>
      </w:r>
      <w:r w:rsidRPr="00663433">
        <w:rPr>
          <w:color w:val="333333"/>
        </w:rPr>
        <w:t>PaCO</w:t>
      </w:r>
      <w:r w:rsidRPr="00663433">
        <w:rPr>
          <w:color w:val="333333"/>
          <w:vertAlign w:val="subscript"/>
        </w:rPr>
        <w:t>2</w:t>
      </w:r>
      <w:r w:rsidRPr="007F70E1">
        <w:rPr>
          <w:rFonts w:hint="eastAsia"/>
          <w:color w:val="333333"/>
        </w:rPr>
        <w:t xml:space="preserve"> =</w:t>
      </w:r>
      <w:r>
        <w:rPr>
          <w:rFonts w:hint="eastAsia"/>
          <w:color w:val="333333"/>
        </w:rPr>
        <w:t xml:space="preserve"> </w:t>
      </w:r>
      <w:r w:rsidRPr="00663433">
        <w:rPr>
          <w:color w:val="333333"/>
        </w:rPr>
        <w:t>partial pressure of carbon dioxide</w:t>
      </w:r>
      <w:r>
        <w:rPr>
          <w:rFonts w:hint="eastAsia"/>
          <w:color w:val="333333"/>
        </w:rPr>
        <w:t xml:space="preserve">, </w:t>
      </w:r>
      <w:r w:rsidRPr="00663433">
        <w:t>SaO</w:t>
      </w:r>
      <w:r w:rsidRPr="00663433">
        <w:rPr>
          <w:vertAlign w:val="subscript"/>
        </w:rPr>
        <w:t>2</w:t>
      </w:r>
      <w:r>
        <w:rPr>
          <w:rFonts w:hint="eastAsia"/>
          <w:color w:val="333333"/>
        </w:rPr>
        <w:t xml:space="preserve"> = </w:t>
      </w:r>
      <w:r w:rsidRPr="00663433">
        <w:rPr>
          <w:color w:val="333333"/>
        </w:rPr>
        <w:t>oxygen saturation</w:t>
      </w:r>
      <w:r>
        <w:rPr>
          <w:rFonts w:hint="eastAsia"/>
          <w:color w:val="333333"/>
        </w:rPr>
        <w:t xml:space="preserve">, </w:t>
      </w:r>
      <w:r>
        <w:t>FVC</w:t>
      </w:r>
      <w:r>
        <w:rPr>
          <w:rFonts w:hint="eastAsia"/>
        </w:rPr>
        <w:t xml:space="preserve"> = f</w:t>
      </w:r>
      <w:r>
        <w:t xml:space="preserve">orce vital capacity, FVC % </w:t>
      </w:r>
      <w:proofErr w:type="spellStart"/>
      <w:r>
        <w:t>pred</w:t>
      </w:r>
      <w:proofErr w:type="spellEnd"/>
      <w:r>
        <w:t xml:space="preserve"> </w:t>
      </w:r>
      <w:r>
        <w:rPr>
          <w:rFonts w:hint="eastAsia"/>
        </w:rPr>
        <w:t>= f</w:t>
      </w:r>
      <w:r>
        <w:t>orce vital capacity expressed as a percentage of predicted, D</w:t>
      </w:r>
      <w:r>
        <w:rPr>
          <w:vertAlign w:val="subscript"/>
        </w:rPr>
        <w:t>L</w:t>
      </w:r>
      <w:r>
        <w:t xml:space="preserve">CO % </w:t>
      </w:r>
      <w:proofErr w:type="spellStart"/>
      <w:r>
        <w:t>pred</w:t>
      </w:r>
      <w:proofErr w:type="spellEnd"/>
      <w:r>
        <w:t xml:space="preserve"> </w:t>
      </w:r>
      <w:r>
        <w:rPr>
          <w:rFonts w:hint="eastAsia"/>
        </w:rPr>
        <w:t xml:space="preserve">= </w:t>
      </w:r>
      <w:r>
        <w:t>carbon monoxide diffusing capacity of the lung expressed as a percentage of predicted</w:t>
      </w:r>
      <w:r>
        <w:rPr>
          <w:rFonts w:hint="eastAsia"/>
        </w:rPr>
        <w:t>, NA = not applicable, SD = standard deviation.</w:t>
      </w:r>
    </w:p>
    <w:p w:rsidR="0019706D" w:rsidRDefault="0019706D" w:rsidP="0019706D">
      <w:pPr>
        <w:adjustRightInd w:val="0"/>
        <w:snapToGrid w:val="0"/>
        <w:spacing w:line="480" w:lineRule="auto"/>
      </w:pPr>
      <w:r w:rsidRPr="00292123">
        <w:t xml:space="preserve">* </w:t>
      </w:r>
      <w:r>
        <w:rPr>
          <w:rFonts w:hint="eastAsia"/>
        </w:rPr>
        <w:t>R</w:t>
      </w:r>
      <w:r>
        <w:t>epresent</w:t>
      </w:r>
      <w:r w:rsidRPr="00292123">
        <w:t xml:space="preserve"> significant</w:t>
      </w:r>
      <w:r>
        <w:t xml:space="preserve"> differen</w:t>
      </w:r>
      <w:r>
        <w:rPr>
          <w:rFonts w:hint="eastAsia"/>
        </w:rPr>
        <w:t>ce</w:t>
      </w:r>
      <w:r w:rsidRPr="00292123">
        <w:t xml:space="preserve"> </w:t>
      </w:r>
      <w:r>
        <w:rPr>
          <w:rFonts w:hint="eastAsia"/>
        </w:rPr>
        <w:t xml:space="preserve">of the IPF group versus the </w:t>
      </w:r>
      <w:r w:rsidRPr="00292123">
        <w:t>CTD-ILD group</w:t>
      </w:r>
      <w:r>
        <w:rPr>
          <w:rFonts w:hint="eastAsia"/>
        </w:rPr>
        <w:t xml:space="preserve"> and control group</w:t>
      </w:r>
      <w:r w:rsidRPr="00292123">
        <w:t xml:space="preserve">, </w:t>
      </w:r>
      <w:r w:rsidRPr="00292123">
        <w:rPr>
          <w:i/>
        </w:rPr>
        <w:t>P</w:t>
      </w:r>
      <w:r w:rsidRPr="00292123">
        <w:t xml:space="preserve"> &lt; 0.01. </w:t>
      </w: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Pr="00292123" w:rsidRDefault="0019706D" w:rsidP="0019706D">
      <w:pPr>
        <w:adjustRightInd w:val="0"/>
        <w:snapToGrid w:val="0"/>
        <w:spacing w:line="480" w:lineRule="auto"/>
        <w:rPr>
          <w:b/>
        </w:rPr>
      </w:pPr>
      <w:r w:rsidRPr="00292123">
        <w:rPr>
          <w:b/>
        </w:rPr>
        <w:t>Table 4 Proportions of patients in different pH groups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695"/>
        <w:gridCol w:w="1848"/>
        <w:gridCol w:w="1541"/>
      </w:tblGrid>
      <w:tr w:rsidR="0019706D" w:rsidRPr="00292123" w:rsidTr="003F50AD">
        <w:tc>
          <w:tcPr>
            <w:tcW w:w="2235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proofErr w:type="gramStart"/>
            <w:r w:rsidRPr="00292123">
              <w:rPr>
                <w:color w:val="000000"/>
                <w:szCs w:val="21"/>
              </w:rPr>
              <w:t>pH</w:t>
            </w:r>
            <w:proofErr w:type="gramEnd"/>
            <w:r w:rsidRPr="00292123">
              <w:rPr>
                <w:color w:val="000000"/>
                <w:szCs w:val="21"/>
              </w:rPr>
              <w:t xml:space="preserve"> &lt; 6.5, n (%)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proofErr w:type="gramStart"/>
            <w:r w:rsidRPr="00292123">
              <w:rPr>
                <w:szCs w:val="21"/>
              </w:rPr>
              <w:t>pH</w:t>
            </w:r>
            <w:proofErr w:type="gramEnd"/>
            <w:r w:rsidRPr="00292123">
              <w:rPr>
                <w:szCs w:val="21"/>
              </w:rPr>
              <w:t xml:space="preserve"> 6.5-7.5, </w:t>
            </w:r>
            <w:r w:rsidRPr="00292123">
              <w:rPr>
                <w:color w:val="000000"/>
                <w:szCs w:val="21"/>
              </w:rPr>
              <w:t>n (%)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proofErr w:type="gramStart"/>
            <w:r w:rsidRPr="00292123">
              <w:rPr>
                <w:szCs w:val="21"/>
              </w:rPr>
              <w:t>pH</w:t>
            </w:r>
            <w:proofErr w:type="gramEnd"/>
            <w:r w:rsidRPr="00292123">
              <w:rPr>
                <w:szCs w:val="21"/>
              </w:rPr>
              <w:t xml:space="preserve"> &gt; 7.5, </w:t>
            </w:r>
            <w:r w:rsidRPr="00292123">
              <w:rPr>
                <w:color w:val="000000"/>
                <w:szCs w:val="21"/>
              </w:rPr>
              <w:t>n (%)</w:t>
            </w:r>
          </w:p>
        </w:tc>
      </w:tr>
      <w:tr w:rsidR="0019706D" w:rsidRPr="00292123" w:rsidTr="003F50AD">
        <w:tc>
          <w:tcPr>
            <w:tcW w:w="7319" w:type="dxa"/>
            <w:gridSpan w:val="4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t>Entire pH monitoring duration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Control</w:t>
            </w:r>
            <w:r w:rsidRPr="00292123">
              <w:t xml:space="preserve">, n = </w:t>
            </w:r>
            <w:r>
              <w:rPr>
                <w:rFonts w:hint="eastAsia"/>
              </w:rPr>
              <w:t>30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 (3.3)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28 (93.4)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 (3.3)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Total, n = 44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 (11.4)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27 (61.3)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12 (27.3)</w:t>
            </w:r>
            <w:r>
              <w:t>*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  IPF, n = 23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 (8.7)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16 (69.6)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 (21.7)</w:t>
            </w:r>
          </w:p>
        </w:tc>
      </w:tr>
      <w:tr w:rsidR="0019706D" w:rsidRPr="00292123" w:rsidTr="003F50AD">
        <w:tc>
          <w:tcPr>
            <w:tcW w:w="2235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  CTD-ILD, n = 21</w:t>
            </w: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 (14.3)</w:t>
            </w:r>
          </w:p>
        </w:tc>
        <w:tc>
          <w:tcPr>
            <w:tcW w:w="1848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11 (52.4)</w:t>
            </w:r>
          </w:p>
        </w:tc>
        <w:tc>
          <w:tcPr>
            <w:tcW w:w="1541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7 (33.3)</w:t>
            </w:r>
          </w:p>
        </w:tc>
      </w:tr>
      <w:tr w:rsidR="0019706D" w:rsidRPr="00292123" w:rsidTr="003F50AD">
        <w:tc>
          <w:tcPr>
            <w:tcW w:w="7319" w:type="dxa"/>
            <w:gridSpan w:val="4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t xml:space="preserve">At </w:t>
            </w:r>
            <w:r w:rsidRPr="00292123">
              <w:t>upright position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Control</w:t>
            </w:r>
            <w:r w:rsidRPr="00292123">
              <w:t xml:space="preserve">, n = </w:t>
            </w:r>
            <w:r>
              <w:rPr>
                <w:rFonts w:hint="eastAsia"/>
              </w:rPr>
              <w:t>30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 (3.3)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28 (93.4)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 (3.3)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Total, n = 44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 (6.8)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28 (63.6)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13 (29.6)</w:t>
            </w:r>
            <w:r>
              <w:t>*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  IPF, n = 23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0 (0)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18 (78.3)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 (21.7)</w:t>
            </w:r>
          </w:p>
        </w:tc>
      </w:tr>
      <w:tr w:rsidR="0019706D" w:rsidRPr="00292123" w:rsidTr="003F50AD">
        <w:tc>
          <w:tcPr>
            <w:tcW w:w="2235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  CTD-ILD, n = 21</w:t>
            </w:r>
          </w:p>
        </w:tc>
        <w:tc>
          <w:tcPr>
            <w:tcW w:w="1695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 (14.3)</w:t>
            </w:r>
          </w:p>
        </w:tc>
        <w:tc>
          <w:tcPr>
            <w:tcW w:w="1848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10 (47.6)</w:t>
            </w:r>
          </w:p>
        </w:tc>
        <w:tc>
          <w:tcPr>
            <w:tcW w:w="1541" w:type="dxa"/>
            <w:tcBorders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8 (38.1)</w:t>
            </w:r>
          </w:p>
        </w:tc>
      </w:tr>
      <w:tr w:rsidR="0019706D" w:rsidRPr="00292123" w:rsidTr="003F50AD">
        <w:tc>
          <w:tcPr>
            <w:tcW w:w="7319" w:type="dxa"/>
            <w:gridSpan w:val="4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t>A</w:t>
            </w:r>
            <w:r w:rsidRPr="00292123">
              <w:t>t supine position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Control</w:t>
            </w:r>
            <w:r w:rsidRPr="00292123">
              <w:t xml:space="preserve">, n = </w:t>
            </w:r>
            <w:r>
              <w:rPr>
                <w:rFonts w:hint="eastAsia"/>
              </w:rPr>
              <w:t>30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 (3.3)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27 (90.0)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2 (6.7)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Total, n = 44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12 (27.3)</w:t>
            </w:r>
            <w:r>
              <w:t>*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24 (54.5)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8 (18.2)</w:t>
            </w:r>
          </w:p>
        </w:tc>
      </w:tr>
      <w:tr w:rsidR="0019706D" w:rsidRPr="00292123" w:rsidTr="003F50AD">
        <w:tc>
          <w:tcPr>
            <w:tcW w:w="223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  IPF, n = 23</w:t>
            </w:r>
          </w:p>
        </w:tc>
        <w:tc>
          <w:tcPr>
            <w:tcW w:w="169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8 (34.8)</w:t>
            </w:r>
          </w:p>
        </w:tc>
        <w:tc>
          <w:tcPr>
            <w:tcW w:w="184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12 (52.2)</w:t>
            </w:r>
          </w:p>
        </w:tc>
        <w:tc>
          <w:tcPr>
            <w:tcW w:w="1541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 (13)</w:t>
            </w:r>
          </w:p>
        </w:tc>
      </w:tr>
      <w:tr w:rsidR="0019706D" w:rsidRPr="00292123" w:rsidTr="003F50AD">
        <w:tc>
          <w:tcPr>
            <w:tcW w:w="2235" w:type="dxa"/>
            <w:tcBorders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  CTD-ILD, n = 21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4 (19.1)</w:t>
            </w:r>
          </w:p>
        </w:tc>
        <w:tc>
          <w:tcPr>
            <w:tcW w:w="1848" w:type="dxa"/>
            <w:tcBorders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12 (57.1)</w:t>
            </w: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 (23.8)</w:t>
            </w:r>
          </w:p>
        </w:tc>
      </w:tr>
    </w:tbl>
    <w:p w:rsidR="0019706D" w:rsidRPr="00292123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  <w:r>
        <w:rPr>
          <w:rFonts w:hint="eastAsia"/>
        </w:rPr>
        <w:t>Control: healthy individuals.</w:t>
      </w:r>
      <w:r w:rsidRPr="00292123">
        <w:t xml:space="preserve"> IPF</w:t>
      </w:r>
      <w:r>
        <w:rPr>
          <w:rFonts w:hint="eastAsia"/>
        </w:rPr>
        <w:t xml:space="preserve"> = i</w:t>
      </w:r>
      <w:r w:rsidRPr="00563173">
        <w:t>diopathic pulmonary fibrosis</w:t>
      </w:r>
      <w:r>
        <w:rPr>
          <w:rFonts w:hint="eastAsia"/>
        </w:rPr>
        <w:t xml:space="preserve">, </w:t>
      </w:r>
      <w:r w:rsidRPr="00292123">
        <w:t>CTD-ILD</w:t>
      </w:r>
      <w:r>
        <w:rPr>
          <w:rFonts w:hint="eastAsia"/>
        </w:rPr>
        <w:t xml:space="preserve"> = </w:t>
      </w:r>
      <w:r w:rsidRPr="00563173">
        <w:t>connective tissue disease-related interstitial lung disease</w:t>
      </w:r>
      <w:r>
        <w:rPr>
          <w:rFonts w:hint="eastAsia"/>
        </w:rPr>
        <w:t>.</w:t>
      </w:r>
    </w:p>
    <w:p w:rsidR="0019706D" w:rsidRDefault="0019706D" w:rsidP="0019706D">
      <w:pPr>
        <w:adjustRightInd w:val="0"/>
        <w:snapToGrid w:val="0"/>
        <w:spacing w:line="480" w:lineRule="auto"/>
      </w:pPr>
      <w:r w:rsidRPr="00292123">
        <w:t xml:space="preserve">* </w:t>
      </w:r>
      <w:r>
        <w:rPr>
          <w:rFonts w:hint="eastAsia"/>
        </w:rPr>
        <w:t>R</w:t>
      </w:r>
      <w:r>
        <w:t>epresent</w:t>
      </w:r>
      <w:r w:rsidRPr="00292123">
        <w:t xml:space="preserve"> significant</w:t>
      </w:r>
      <w:r>
        <w:t xml:space="preserve"> differen</w:t>
      </w:r>
      <w:r>
        <w:rPr>
          <w:rFonts w:hint="eastAsia"/>
        </w:rPr>
        <w:t>ce</w:t>
      </w:r>
      <w:r w:rsidRPr="00292123">
        <w:t xml:space="preserve"> </w:t>
      </w:r>
      <w:r>
        <w:rPr>
          <w:rFonts w:hint="eastAsia"/>
        </w:rPr>
        <w:t>of the ILD group versus the control group</w:t>
      </w:r>
      <w:r w:rsidRPr="00292123">
        <w:t xml:space="preserve">, </w:t>
      </w:r>
      <w:r w:rsidRPr="00292123">
        <w:rPr>
          <w:i/>
        </w:rPr>
        <w:t>P</w:t>
      </w:r>
      <w:r w:rsidRPr="00292123">
        <w:t xml:space="preserve"> &lt; 0.01.</w:t>
      </w: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Pr="00292123" w:rsidRDefault="0019706D" w:rsidP="0019706D">
      <w:pPr>
        <w:adjustRightInd w:val="0"/>
        <w:snapToGrid w:val="0"/>
        <w:spacing w:line="480" w:lineRule="auto"/>
        <w:rPr>
          <w:b/>
        </w:rPr>
      </w:pPr>
      <w:r w:rsidRPr="00292123">
        <w:rPr>
          <w:b/>
        </w:rPr>
        <w:t>Table 5 Seven patients showing abnormal Ryan index score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2126"/>
        <w:gridCol w:w="2268"/>
      </w:tblGrid>
      <w:tr w:rsidR="0019706D" w:rsidRPr="00292123" w:rsidTr="003F50AD">
        <w:trPr>
          <w:trHeight w:val="376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Patient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Disease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 xml:space="preserve">Ryan index score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</w:p>
        </w:tc>
      </w:tr>
      <w:tr w:rsidR="0019706D" w:rsidRPr="00292123" w:rsidTr="003F50AD">
        <w:trPr>
          <w:trHeight w:val="34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At the upright position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At the supine position*</w:t>
            </w:r>
          </w:p>
        </w:tc>
      </w:tr>
      <w:tr w:rsidR="0019706D" w:rsidRPr="00292123" w:rsidTr="003F50AD">
        <w:tc>
          <w:tcPr>
            <w:tcW w:w="817" w:type="dxa"/>
            <w:tcBorders>
              <w:top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IPF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65.33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  <w:tr w:rsidR="0019706D" w:rsidRPr="00292123" w:rsidTr="003F50AD">
        <w:tc>
          <w:tcPr>
            <w:tcW w:w="817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</w:t>
            </w:r>
          </w:p>
        </w:tc>
        <w:tc>
          <w:tcPr>
            <w:tcW w:w="1134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CTD-ILD</w:t>
            </w:r>
          </w:p>
        </w:tc>
        <w:tc>
          <w:tcPr>
            <w:tcW w:w="2126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11.5</w:t>
            </w:r>
          </w:p>
        </w:tc>
        <w:tc>
          <w:tcPr>
            <w:tcW w:w="226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  <w:tr w:rsidR="0019706D" w:rsidRPr="00292123" w:rsidTr="003F50AD">
        <w:tc>
          <w:tcPr>
            <w:tcW w:w="817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</w:t>
            </w:r>
          </w:p>
        </w:tc>
        <w:tc>
          <w:tcPr>
            <w:tcW w:w="1134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IPF</w:t>
            </w:r>
          </w:p>
        </w:tc>
        <w:tc>
          <w:tcPr>
            <w:tcW w:w="2126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59.82</w:t>
            </w:r>
          </w:p>
        </w:tc>
        <w:tc>
          <w:tcPr>
            <w:tcW w:w="226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  <w:tr w:rsidR="0019706D" w:rsidRPr="00292123" w:rsidTr="003F50AD">
        <w:tc>
          <w:tcPr>
            <w:tcW w:w="817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4</w:t>
            </w:r>
          </w:p>
        </w:tc>
        <w:tc>
          <w:tcPr>
            <w:tcW w:w="1134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IPF</w:t>
            </w:r>
          </w:p>
        </w:tc>
        <w:tc>
          <w:tcPr>
            <w:tcW w:w="2126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11.91</w:t>
            </w:r>
          </w:p>
        </w:tc>
        <w:tc>
          <w:tcPr>
            <w:tcW w:w="226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  <w:tr w:rsidR="0019706D" w:rsidRPr="00292123" w:rsidTr="003F50AD">
        <w:tc>
          <w:tcPr>
            <w:tcW w:w="817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5</w:t>
            </w:r>
          </w:p>
        </w:tc>
        <w:tc>
          <w:tcPr>
            <w:tcW w:w="1134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CTD-ILD</w:t>
            </w:r>
          </w:p>
        </w:tc>
        <w:tc>
          <w:tcPr>
            <w:tcW w:w="2126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32.15</w:t>
            </w:r>
          </w:p>
        </w:tc>
        <w:tc>
          <w:tcPr>
            <w:tcW w:w="226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  <w:tr w:rsidR="0019706D" w:rsidRPr="00292123" w:rsidTr="003F50AD">
        <w:tc>
          <w:tcPr>
            <w:tcW w:w="817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IPF</w:t>
            </w:r>
          </w:p>
        </w:tc>
        <w:tc>
          <w:tcPr>
            <w:tcW w:w="2126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17.5</w:t>
            </w:r>
          </w:p>
        </w:tc>
        <w:tc>
          <w:tcPr>
            <w:tcW w:w="2268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  <w:tr w:rsidR="0019706D" w:rsidRPr="00292123" w:rsidTr="003F50AD"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7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IPF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23.91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2.17</w:t>
            </w:r>
          </w:p>
        </w:tc>
      </w:tr>
    </w:tbl>
    <w:p w:rsidR="0019706D" w:rsidRPr="00292123" w:rsidRDefault="0019706D" w:rsidP="0019706D">
      <w:pPr>
        <w:adjustRightInd w:val="0"/>
        <w:snapToGrid w:val="0"/>
        <w:spacing w:line="480" w:lineRule="auto"/>
        <w:rPr>
          <w:b/>
          <w:color w:val="000000"/>
        </w:rPr>
      </w:pPr>
    </w:p>
    <w:p w:rsidR="0019706D" w:rsidRDefault="0019706D" w:rsidP="0019706D">
      <w:pPr>
        <w:adjustRightInd w:val="0"/>
        <w:snapToGrid w:val="0"/>
        <w:spacing w:line="480" w:lineRule="auto"/>
        <w:rPr>
          <w:color w:val="000000"/>
        </w:rPr>
      </w:pPr>
      <w:r w:rsidRPr="00292123">
        <w:t>IPF</w:t>
      </w:r>
      <w:r>
        <w:rPr>
          <w:rFonts w:hint="eastAsia"/>
        </w:rPr>
        <w:t xml:space="preserve"> = i</w:t>
      </w:r>
      <w:r w:rsidRPr="00563173">
        <w:t>diopathic pulmonary fibrosis</w:t>
      </w:r>
      <w:r>
        <w:rPr>
          <w:rFonts w:hint="eastAsia"/>
        </w:rPr>
        <w:t xml:space="preserve">, </w:t>
      </w:r>
      <w:r w:rsidRPr="00292123">
        <w:t>CTD-ILD</w:t>
      </w:r>
      <w:r>
        <w:rPr>
          <w:rFonts w:hint="eastAsia"/>
        </w:rPr>
        <w:t xml:space="preserve"> = </w:t>
      </w:r>
      <w:r w:rsidRPr="00563173">
        <w:t>connective tissue disease-related interstitial lung disease</w:t>
      </w:r>
      <w:r>
        <w:rPr>
          <w:rFonts w:hint="eastAsia"/>
        </w:rPr>
        <w:t>.</w:t>
      </w:r>
    </w:p>
    <w:p w:rsidR="0019706D" w:rsidRPr="00292123" w:rsidRDefault="0019706D" w:rsidP="0019706D">
      <w:pPr>
        <w:adjustRightInd w:val="0"/>
        <w:snapToGrid w:val="0"/>
        <w:spacing w:line="480" w:lineRule="auto"/>
        <w:rPr>
          <w:color w:val="000000"/>
        </w:rPr>
      </w:pPr>
      <w:r w:rsidRPr="00292123">
        <w:rPr>
          <w:color w:val="000000"/>
        </w:rPr>
        <w:t xml:space="preserve">*When Ryan index score </w:t>
      </w:r>
      <w:r>
        <w:rPr>
          <w:rFonts w:hint="eastAsia"/>
          <w:color w:val="000000"/>
        </w:rPr>
        <w:t xml:space="preserve">at the supine position </w:t>
      </w:r>
      <w:r w:rsidRPr="00292123">
        <w:rPr>
          <w:color w:val="000000"/>
        </w:rPr>
        <w:t>was &lt; 6.79, the results from the calculation by the software were presented as 2.17.</w:t>
      </w: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Pr="00292123" w:rsidRDefault="0019706D" w:rsidP="0019706D">
      <w:pPr>
        <w:adjustRightInd w:val="0"/>
        <w:snapToGrid w:val="0"/>
        <w:spacing w:line="480" w:lineRule="auto"/>
        <w:rPr>
          <w:b/>
        </w:rPr>
      </w:pPr>
      <w:r w:rsidRPr="00292123">
        <w:rPr>
          <w:b/>
        </w:rPr>
        <w:t xml:space="preserve">Table 6 Five patients showing significant changes in pH values at coughing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985"/>
        <w:gridCol w:w="2268"/>
        <w:gridCol w:w="992"/>
      </w:tblGrid>
      <w:tr w:rsidR="0019706D" w:rsidRPr="00292123" w:rsidTr="003F50AD">
        <w:tc>
          <w:tcPr>
            <w:tcW w:w="1242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Patient No.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Disease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Overall average pH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t>Average pH at coughing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</w:pPr>
            <w:r w:rsidRPr="00292123">
              <w:rPr>
                <w:i/>
              </w:rPr>
              <w:t>P</w:t>
            </w:r>
            <w:r w:rsidRPr="00292123">
              <w:t xml:space="preserve"> value</w:t>
            </w:r>
          </w:p>
        </w:tc>
      </w:tr>
      <w:tr w:rsidR="0019706D" w:rsidRPr="00292123" w:rsidTr="003F50AD">
        <w:tc>
          <w:tcPr>
            <w:tcW w:w="1242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CTD-ILD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7.6083±0.2953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7.6992±0.1093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0.015</w:t>
            </w:r>
          </w:p>
        </w:tc>
      </w:tr>
      <w:tr w:rsidR="0019706D" w:rsidRPr="00292123" w:rsidTr="003F50AD">
        <w:tc>
          <w:tcPr>
            <w:tcW w:w="1242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CTD-ILD</w:t>
            </w:r>
          </w:p>
        </w:tc>
        <w:tc>
          <w:tcPr>
            <w:tcW w:w="198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7.1698±0.4367</w:t>
            </w:r>
          </w:p>
        </w:tc>
        <w:tc>
          <w:tcPr>
            <w:tcW w:w="226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7.4450±0.3122</w:t>
            </w:r>
          </w:p>
        </w:tc>
        <w:tc>
          <w:tcPr>
            <w:tcW w:w="992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0.021</w:t>
            </w:r>
          </w:p>
        </w:tc>
      </w:tr>
      <w:tr w:rsidR="0019706D" w:rsidRPr="00292123" w:rsidTr="003F50AD">
        <w:tc>
          <w:tcPr>
            <w:tcW w:w="1242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CTD-ILD</w:t>
            </w:r>
          </w:p>
        </w:tc>
        <w:tc>
          <w:tcPr>
            <w:tcW w:w="1985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6.7369±0.3188</w:t>
            </w:r>
          </w:p>
        </w:tc>
        <w:tc>
          <w:tcPr>
            <w:tcW w:w="2268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7.0700±0.1950</w:t>
            </w:r>
          </w:p>
        </w:tc>
        <w:tc>
          <w:tcPr>
            <w:tcW w:w="992" w:type="dxa"/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0.009</w:t>
            </w:r>
          </w:p>
        </w:tc>
      </w:tr>
      <w:tr w:rsidR="0019706D" w:rsidRPr="00292123" w:rsidTr="003F50AD">
        <w:tc>
          <w:tcPr>
            <w:tcW w:w="1242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IPF</w:t>
            </w:r>
          </w:p>
        </w:tc>
        <w:tc>
          <w:tcPr>
            <w:tcW w:w="1985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7.3443±0.2719</w:t>
            </w:r>
          </w:p>
        </w:tc>
        <w:tc>
          <w:tcPr>
            <w:tcW w:w="2268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7.5490±0.1906</w:t>
            </w:r>
          </w:p>
        </w:tc>
        <w:tc>
          <w:tcPr>
            <w:tcW w:w="992" w:type="dxa"/>
            <w:tcBorders>
              <w:bottom w:val="nil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0.008</w:t>
            </w:r>
          </w:p>
        </w:tc>
      </w:tr>
      <w:tr w:rsidR="0019706D" w:rsidRPr="00292123" w:rsidTr="003F50AD">
        <w:tc>
          <w:tcPr>
            <w:tcW w:w="1242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IPF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6.8064±0.4245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5.8867±0.3667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19706D" w:rsidRPr="00292123" w:rsidRDefault="0019706D" w:rsidP="003F50AD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 w:rsidRPr="00292123">
              <w:rPr>
                <w:color w:val="000000"/>
              </w:rPr>
              <w:t>0.049</w:t>
            </w:r>
          </w:p>
        </w:tc>
      </w:tr>
    </w:tbl>
    <w:p w:rsidR="0019706D" w:rsidRPr="00C856D2" w:rsidRDefault="0019706D" w:rsidP="0019706D">
      <w:pPr>
        <w:autoSpaceDE w:val="0"/>
        <w:autoSpaceDN w:val="0"/>
        <w:adjustRightInd w:val="0"/>
        <w:snapToGrid w:val="0"/>
        <w:spacing w:line="480" w:lineRule="auto"/>
        <w:rPr>
          <w:color w:val="000000"/>
          <w:szCs w:val="21"/>
        </w:rPr>
      </w:pPr>
    </w:p>
    <w:p w:rsidR="0019706D" w:rsidRDefault="0019706D" w:rsidP="0019706D">
      <w:pPr>
        <w:adjustRightInd w:val="0"/>
        <w:snapToGrid w:val="0"/>
        <w:spacing w:line="480" w:lineRule="auto"/>
      </w:pPr>
      <w:r w:rsidRPr="00292123">
        <w:t>IPF</w:t>
      </w:r>
      <w:r>
        <w:rPr>
          <w:rFonts w:hint="eastAsia"/>
        </w:rPr>
        <w:t xml:space="preserve"> = i</w:t>
      </w:r>
      <w:r w:rsidRPr="00563173">
        <w:t>diopathic pulmonary fibrosis</w:t>
      </w:r>
      <w:r>
        <w:rPr>
          <w:rFonts w:hint="eastAsia"/>
        </w:rPr>
        <w:t xml:space="preserve">, </w:t>
      </w:r>
      <w:r w:rsidRPr="00292123">
        <w:t>CTD-ILD</w:t>
      </w:r>
      <w:r>
        <w:rPr>
          <w:rFonts w:hint="eastAsia"/>
        </w:rPr>
        <w:t xml:space="preserve"> = </w:t>
      </w:r>
      <w:r w:rsidRPr="00563173">
        <w:t>connective tissue disease-related interstitial lung disease</w:t>
      </w: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19706D" w:rsidRDefault="0019706D" w:rsidP="0019706D">
      <w:pPr>
        <w:adjustRightInd w:val="0"/>
        <w:snapToGrid w:val="0"/>
        <w:spacing w:line="480" w:lineRule="auto"/>
      </w:pPr>
    </w:p>
    <w:p w:rsidR="003517B1" w:rsidRDefault="003517B1">
      <w:bookmarkStart w:id="0" w:name="_GoBack"/>
      <w:bookmarkEnd w:id="0"/>
    </w:p>
    <w:sectPr w:rsidR="0035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D"/>
    <w:rsid w:val="000731CB"/>
    <w:rsid w:val="0019706D"/>
    <w:rsid w:val="00275F92"/>
    <w:rsid w:val="0029568F"/>
    <w:rsid w:val="00317F7C"/>
    <w:rsid w:val="003517B1"/>
    <w:rsid w:val="0060409E"/>
    <w:rsid w:val="00615B5F"/>
    <w:rsid w:val="00783965"/>
    <w:rsid w:val="00950ED0"/>
    <w:rsid w:val="009D7BE2"/>
    <w:rsid w:val="00A11F89"/>
    <w:rsid w:val="00A4604F"/>
    <w:rsid w:val="00A571C8"/>
    <w:rsid w:val="00A57C61"/>
    <w:rsid w:val="00B43DCD"/>
    <w:rsid w:val="00C32A2C"/>
    <w:rsid w:val="00CA4D41"/>
    <w:rsid w:val="00CB143C"/>
    <w:rsid w:val="00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79F7-B9A3-4D71-B98F-36E97F26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6D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A571C8"/>
    <w:rPr>
      <w:rFonts w:ascii="Times New Roman" w:eastAsiaTheme="majorEastAsia" w:hAnsi="Times New Roman"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Formatting Specialist</dc:creator>
  <cp:keywords/>
  <dc:description/>
  <cp:lastModifiedBy>Academic Formatting Specialist  </cp:lastModifiedBy>
  <cp:revision>1</cp:revision>
  <dcterms:created xsi:type="dcterms:W3CDTF">2019-06-21T19:48:00Z</dcterms:created>
  <dcterms:modified xsi:type="dcterms:W3CDTF">2019-06-21T19:49:00Z</dcterms:modified>
</cp:coreProperties>
</file>