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51B" w14:textId="77777777" w:rsidR="0060610C" w:rsidRPr="003F4491" w:rsidRDefault="0060610C" w:rsidP="0060610C">
      <w:pPr>
        <w:spacing w:after="0" w:line="240" w:lineRule="auto"/>
        <w:ind w:firstLine="708"/>
        <w:jc w:val="both"/>
        <w:rPr>
          <w:rFonts w:ascii="Arial" w:hAnsi="Arial" w:cs="Arial"/>
          <w:sz w:val="20"/>
          <w:szCs w:val="20"/>
          <w:lang w:val="en-US"/>
        </w:rPr>
      </w:pPr>
      <w:r w:rsidRPr="003F4491">
        <w:rPr>
          <w:rFonts w:ascii="Arial" w:hAnsi="Arial" w:cs="Arial"/>
          <w:sz w:val="20"/>
          <w:szCs w:val="20"/>
          <w:lang w:val="en-US"/>
        </w:rPr>
        <w:t xml:space="preserve">The results of the THz spectroscopy measurements are shown in the diagram in Fig. 5. Four measurement results are </w:t>
      </w:r>
      <w:r w:rsidRPr="003F4491">
        <w:rPr>
          <w:rFonts w:ascii="Arial" w:eastAsia="Calibri" w:hAnsi="Arial" w:cs="Arial"/>
          <w:sz w:val="20"/>
          <w:szCs w:val="20"/>
          <w:lang w:val="en-US"/>
        </w:rPr>
        <w:t>presented in</w:t>
      </w:r>
      <w:r w:rsidRPr="003F4491">
        <w:rPr>
          <w:rFonts w:ascii="Arial" w:hAnsi="Arial" w:cs="Arial"/>
          <w:sz w:val="20"/>
          <w:szCs w:val="20"/>
          <w:lang w:val="en-US"/>
        </w:rPr>
        <w:t xml:space="preserve"> the same </w:t>
      </w:r>
      <w:r w:rsidRPr="006D5080">
        <w:rPr>
          <w:rFonts w:ascii="Arial" w:hAnsi="Arial" w:cs="Arial"/>
          <w:sz w:val="20"/>
          <w:szCs w:val="20"/>
          <w:lang w:val="en-US"/>
        </w:rPr>
        <w:t>figure</w:t>
      </w:r>
      <w:r w:rsidRPr="003F4491">
        <w:rPr>
          <w:rFonts w:ascii="Arial" w:hAnsi="Arial" w:cs="Arial"/>
          <w:sz w:val="20"/>
          <w:szCs w:val="20"/>
          <w:lang w:val="en-US"/>
        </w:rPr>
        <w:t xml:space="preserve"> for a comparison: (1) the absorbance of pure ethyl alcohol, (2) histidine dissolved in alcohol, (3) the difference between pure alcohol and the saturated solution of histidine, and (4) the spectrum of the polycrystalline form of the histidine sample. The diagram is prepared for two </w:t>
      </w:r>
      <w:r w:rsidRPr="003F4491">
        <w:rPr>
          <w:rFonts w:ascii="Arial" w:eastAsia="Calibri" w:hAnsi="Arial" w:cs="Arial"/>
          <w:sz w:val="20"/>
          <w:szCs w:val="20"/>
          <w:lang w:val="en-US"/>
        </w:rPr>
        <w:t>systems</w:t>
      </w:r>
      <w:r w:rsidRPr="003F4491">
        <w:rPr>
          <w:rFonts w:ascii="Arial" w:hAnsi="Arial" w:cs="Arial"/>
          <w:sz w:val="20"/>
          <w:szCs w:val="20"/>
          <w:lang w:val="en-US"/>
        </w:rPr>
        <w:t xml:space="preserve"> of units: frequency in terahertz (THz) and inversed centimeters (</w:t>
      </w:r>
      <m:oMath>
        <m:sSup>
          <m:sSupPr>
            <m:ctrlPr>
              <w:rPr>
                <w:rFonts w:ascii="Cambria Math" w:hAnsi="Cambria Math" w:cs="Arial"/>
                <w:sz w:val="20"/>
                <w:szCs w:val="20"/>
                <w:lang w:val="en-US"/>
              </w:rPr>
            </m:ctrlPr>
          </m:sSupPr>
          <m:e>
            <m:r>
              <m:rPr>
                <m:sty m:val="p"/>
              </m:rPr>
              <w:rPr>
                <w:rFonts w:ascii="Cambria Math" w:hAnsi="Cambria Math" w:cs="Arial"/>
                <w:sz w:val="20"/>
                <w:szCs w:val="20"/>
                <w:lang w:val="en-US"/>
              </w:rPr>
              <m:t>cm</m:t>
            </m:r>
          </m:e>
          <m:sup>
            <m:r>
              <m:rPr>
                <m:sty m:val="p"/>
              </m:rPr>
              <w:rPr>
                <w:rFonts w:ascii="Cambria Math" w:hAnsi="Cambria Math" w:cs="Arial"/>
                <w:sz w:val="20"/>
                <w:szCs w:val="20"/>
                <w:lang w:val="en-US"/>
              </w:rPr>
              <m:t>-1</m:t>
            </m:r>
          </m:sup>
        </m:sSup>
      </m:oMath>
      <w:r w:rsidRPr="003F4491">
        <w:rPr>
          <w:rFonts w:ascii="Arial" w:hAnsi="Arial" w:cs="Arial"/>
          <w:sz w:val="20"/>
          <w:szCs w:val="20"/>
          <w:lang w:val="en-US"/>
        </w:rPr>
        <w:t>). The spectra are calculated from the absorbance of the samples:</w:t>
      </w:r>
    </w:p>
    <w:p w14:paraId="3CD6BAB2" w14:textId="77777777" w:rsidR="0060610C" w:rsidRPr="006D5080" w:rsidRDefault="0060610C" w:rsidP="0060610C">
      <w:pPr>
        <w:pStyle w:val="NoSpacing"/>
        <w:rPr>
          <w:rFonts w:ascii="Arial" w:hAnsi="Arial" w:cs="Arial"/>
          <w:sz w:val="20"/>
          <w:szCs w:val="20"/>
          <w:lang w:val="en-US"/>
        </w:rPr>
      </w:pPr>
    </w:p>
    <w:p w14:paraId="14C508FF" w14:textId="77777777" w:rsidR="0060610C" w:rsidRPr="006D5080" w:rsidRDefault="0060610C" w:rsidP="0060610C">
      <w:pPr>
        <w:pStyle w:val="NoSpacing"/>
        <w:jc w:val="center"/>
        <w:rPr>
          <w:rFonts w:ascii="Arial" w:hAnsi="Arial" w:cs="Arial"/>
          <w:sz w:val="20"/>
          <w:szCs w:val="20"/>
          <w:lang w:val="en-US"/>
        </w:rPr>
      </w:pPr>
      <m:oMath>
        <m:r>
          <m:rPr>
            <m:sty m:val="p"/>
          </m:rPr>
          <w:rPr>
            <w:rFonts w:ascii="Cambria Math" w:hAnsi="Cambria Math" w:cs="Arial"/>
            <w:sz w:val="20"/>
            <w:szCs w:val="20"/>
            <w:lang w:val="en-US"/>
          </w:rPr>
          <m:t xml:space="preserve">absorbance= </m:t>
        </m:r>
        <m:sSub>
          <m:sSubPr>
            <m:ctrlPr>
              <w:rPr>
                <w:rFonts w:ascii="Cambria Math" w:eastAsiaTheme="minorEastAsia" w:hAnsi="Cambria Math" w:cs="Arial"/>
                <w:sz w:val="20"/>
                <w:szCs w:val="20"/>
                <w:lang w:val="en-US"/>
              </w:rPr>
            </m:ctrlPr>
          </m:sSubPr>
          <m:e>
            <m:r>
              <m:rPr>
                <m:sty m:val="p"/>
              </m:rPr>
              <w:rPr>
                <w:rFonts w:ascii="Cambria Math" w:eastAsiaTheme="minorEastAsia" w:hAnsi="Cambria Math" w:cs="Arial"/>
                <w:sz w:val="20"/>
                <w:szCs w:val="20"/>
                <w:lang w:val="en-US"/>
              </w:rPr>
              <m:t>- log</m:t>
            </m:r>
          </m:e>
          <m:sub>
            <m:r>
              <m:rPr>
                <m:sty m:val="p"/>
              </m:rPr>
              <w:rPr>
                <w:rFonts w:ascii="Cambria Math" w:eastAsiaTheme="minorEastAsia" w:hAnsi="Cambria Math" w:cs="Arial"/>
                <w:sz w:val="20"/>
                <w:szCs w:val="20"/>
                <w:lang w:val="en-US"/>
              </w:rPr>
              <m:t>10</m:t>
            </m:r>
          </m:sub>
        </m:sSub>
        <m:r>
          <m:rPr>
            <m:sty m:val="p"/>
          </m:rPr>
          <w:rPr>
            <w:rFonts w:ascii="Cambria Math" w:eastAsiaTheme="minorEastAsia" w:hAnsi="Cambria Math" w:cs="Arial"/>
            <w:sz w:val="20"/>
            <w:szCs w:val="20"/>
            <w:lang w:val="en-US"/>
          </w:rPr>
          <m:t>T</m:t>
        </m:r>
      </m:oMath>
      <w:r w:rsidRPr="006D5080">
        <w:rPr>
          <w:rFonts w:ascii="Arial" w:eastAsiaTheme="minorEastAsia" w:hAnsi="Arial" w:cs="Arial"/>
          <w:sz w:val="20"/>
          <w:szCs w:val="20"/>
          <w:lang w:val="en-US"/>
        </w:rPr>
        <w:t>,</w:t>
      </w:r>
    </w:p>
    <w:p w14:paraId="65F6D94E" w14:textId="77777777" w:rsidR="0060610C" w:rsidRPr="006D5080" w:rsidRDefault="0060610C" w:rsidP="0060610C">
      <w:pPr>
        <w:pStyle w:val="NoSpacing"/>
        <w:rPr>
          <w:rFonts w:ascii="Arial" w:hAnsi="Arial" w:cs="Arial"/>
          <w:sz w:val="20"/>
          <w:szCs w:val="20"/>
          <w:lang w:val="en-US"/>
        </w:rPr>
      </w:pPr>
    </w:p>
    <w:p w14:paraId="49FB67CB" w14:textId="77777777" w:rsidR="0060610C" w:rsidRPr="006D5080" w:rsidRDefault="0060610C" w:rsidP="0060610C">
      <w:pPr>
        <w:pStyle w:val="NoSpacing"/>
        <w:rPr>
          <w:rFonts w:ascii="Arial" w:eastAsiaTheme="minorEastAsia" w:hAnsi="Arial" w:cs="Arial"/>
          <w:sz w:val="20"/>
          <w:szCs w:val="20"/>
          <w:lang w:val="en-US"/>
        </w:rPr>
      </w:pPr>
      <w:r w:rsidRPr="006D5080">
        <w:rPr>
          <w:rFonts w:ascii="Arial" w:hAnsi="Arial" w:cs="Arial"/>
          <w:sz w:val="20"/>
          <w:szCs w:val="20"/>
          <w:lang w:val="en-US"/>
        </w:rPr>
        <w:t xml:space="preserve">where </w:t>
      </w:r>
      <m:oMath>
        <m:r>
          <m:rPr>
            <m:sty m:val="p"/>
          </m:rPr>
          <w:rPr>
            <w:rFonts w:ascii="Cambria Math" w:hAnsi="Cambria Math" w:cs="Arial"/>
            <w:sz w:val="20"/>
            <w:szCs w:val="20"/>
            <w:lang w:val="en-US"/>
          </w:rPr>
          <m:t>T</m:t>
        </m:r>
      </m:oMath>
      <w:r w:rsidRPr="006D5080">
        <w:rPr>
          <w:rFonts w:ascii="Arial" w:eastAsiaTheme="minorEastAsia" w:hAnsi="Arial" w:cs="Arial"/>
          <w:sz w:val="20"/>
          <w:szCs w:val="20"/>
          <w:lang w:val="en-US"/>
        </w:rPr>
        <w:t xml:space="preserve"> – transmittance of the investigated medium.</w:t>
      </w:r>
    </w:p>
    <w:p w14:paraId="4CC9A426" w14:textId="77777777" w:rsidR="0060610C" w:rsidRPr="006D5080" w:rsidRDefault="0060610C" w:rsidP="0060610C">
      <w:pPr>
        <w:pStyle w:val="NoSpacing"/>
        <w:rPr>
          <w:rFonts w:ascii="Arial" w:eastAsiaTheme="minorEastAsia" w:hAnsi="Arial" w:cs="Arial"/>
          <w:sz w:val="20"/>
          <w:szCs w:val="20"/>
          <w:lang w:val="en-US"/>
        </w:rPr>
      </w:pPr>
    </w:p>
    <w:p w14:paraId="6EAB11A1" w14:textId="77777777" w:rsidR="0060610C" w:rsidRPr="006D5080" w:rsidRDefault="0060610C" w:rsidP="0060610C">
      <w:pPr>
        <w:pStyle w:val="NoSpacing"/>
        <w:rPr>
          <w:rFonts w:ascii="Arial" w:eastAsiaTheme="minorEastAsia" w:hAnsi="Arial" w:cs="Arial"/>
          <w:sz w:val="20"/>
          <w:szCs w:val="20"/>
          <w:lang w:val="en-US"/>
        </w:rPr>
      </w:pPr>
      <w:r w:rsidRPr="006D5080">
        <w:rPr>
          <w:rFonts w:ascii="Arial" w:eastAsiaTheme="minorEastAsia" w:hAnsi="Arial" w:cs="Arial"/>
          <w:sz w:val="20"/>
          <w:szCs w:val="20"/>
          <w:lang w:val="en-US"/>
        </w:rPr>
        <w:t>(Absorbance is the common logarithm of the ratio of incident to transmitted radiant power through a material).</w:t>
      </w:r>
    </w:p>
    <w:p w14:paraId="6229D474" w14:textId="77777777" w:rsidR="0060610C" w:rsidRDefault="0060610C">
      <w:bookmarkStart w:id="0" w:name="_GoBack"/>
      <w:bookmarkEnd w:id="0"/>
    </w:p>
    <w:sectPr w:rsidR="0060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0C"/>
    <w:rsid w:val="0060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084A"/>
  <w15:chartTrackingRefBased/>
  <w15:docId w15:val="{4C608818-1533-4377-A05B-38C9A0C0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0C"/>
    <w:pPr>
      <w:spacing w:after="200" w:line="276" w:lineRule="auto"/>
    </w:pPr>
    <w:rPr>
      <w:rFonts w:ascii="Times New Roman" w:hAnsi="Times New Roman"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10C"/>
    <w:pPr>
      <w:spacing w:after="0" w:line="240" w:lineRule="auto"/>
    </w:pPr>
    <w:rPr>
      <w:rFonts w:ascii="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2020-01-30T19:33:00Z</dcterms:created>
  <dcterms:modified xsi:type="dcterms:W3CDTF">2020-01-30T19:33:00Z</dcterms:modified>
</cp:coreProperties>
</file>