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6B38D" w14:textId="77777777" w:rsidR="00CA666A" w:rsidRPr="00DC0581" w:rsidRDefault="00CA666A" w:rsidP="00CA666A">
      <w:pPr>
        <w:pStyle w:val="AppendixHeading"/>
        <w:rPr>
          <w:rFonts w:asciiTheme="minorHAnsi" w:hAnsiTheme="minorHAnsi" w:cstheme="minorHAnsi"/>
          <w:sz w:val="28"/>
          <w:szCs w:val="28"/>
        </w:rPr>
      </w:pPr>
      <w:bookmarkStart w:id="0" w:name="_Toc10712837"/>
      <w:bookmarkStart w:id="1" w:name="_Hlk523998746"/>
      <w:r w:rsidRPr="00DC0581">
        <w:rPr>
          <w:rFonts w:asciiTheme="minorHAnsi" w:hAnsiTheme="minorHAnsi" w:cstheme="minorHAnsi"/>
          <w:sz w:val="28"/>
          <w:szCs w:val="28"/>
        </w:rPr>
        <w:t>Appendix 1 Weighting</w:t>
      </w:r>
      <w:bookmarkEnd w:id="0"/>
    </w:p>
    <w:bookmarkEnd w:id="1"/>
    <w:p w14:paraId="20C2CE70" w14:textId="77777777" w:rsidR="00CA666A" w:rsidRPr="00DC0581" w:rsidRDefault="00CA666A" w:rsidP="00CA666A">
      <w:pPr>
        <w:pStyle w:val="Body"/>
        <w:rPr>
          <w:rFonts w:asciiTheme="minorHAnsi" w:hAnsiTheme="minorHAnsi" w:cstheme="minorHAnsi"/>
          <w:sz w:val="22"/>
          <w:szCs w:val="22"/>
        </w:rPr>
      </w:pPr>
      <w:r w:rsidRPr="00DC0581">
        <w:rPr>
          <w:rFonts w:asciiTheme="minorHAnsi" w:hAnsiTheme="minorHAnsi" w:cstheme="minorHAnsi"/>
          <w:sz w:val="22"/>
          <w:szCs w:val="22"/>
        </w:rPr>
        <w:t xml:space="preserve">Sample surveys are a commonly used method for drawing inferences about a population based on responses from just a subset of it. To be able to draw such inferences, a probability sample is required – one in which each element of the population has a known, non-zero chance of selection. Since some units in the population may not have a chance of selection (for instance, persons without a telephone have no chance of selection for a telephone survey) and there may be different rates of response across unit characteristics, many sample surveys yield subsets that imperfectly cover their target populations despite the best possible sample design and data collection practices (Valliant </w:t>
      </w:r>
      <w:r w:rsidRPr="00DC0581">
        <w:rPr>
          <w:rFonts w:asciiTheme="minorHAnsi" w:hAnsiTheme="minorHAnsi" w:cstheme="minorHAnsi"/>
          <w:i/>
          <w:sz w:val="22"/>
          <w:szCs w:val="22"/>
        </w:rPr>
        <w:t>et al.,</w:t>
      </w:r>
      <w:r w:rsidRPr="00DC0581">
        <w:rPr>
          <w:rFonts w:asciiTheme="minorHAnsi" w:hAnsiTheme="minorHAnsi" w:cstheme="minorHAnsi"/>
          <w:sz w:val="22"/>
          <w:szCs w:val="22"/>
        </w:rPr>
        <w:t xml:space="preserve"> 2013). In such situations, weighting can reduce the extent of any biases introduced through non-coverage.</w:t>
      </w:r>
    </w:p>
    <w:p w14:paraId="6C766A96" w14:textId="77777777" w:rsidR="00CA666A" w:rsidRPr="00DC0581" w:rsidRDefault="00CA666A" w:rsidP="00CA666A">
      <w:pPr>
        <w:pStyle w:val="Body"/>
        <w:rPr>
          <w:rFonts w:asciiTheme="minorHAnsi" w:hAnsiTheme="minorHAnsi" w:cstheme="minorHAnsi"/>
          <w:sz w:val="22"/>
          <w:szCs w:val="22"/>
        </w:rPr>
      </w:pPr>
      <w:r w:rsidRPr="00DC0581">
        <w:rPr>
          <w:rFonts w:asciiTheme="minorHAnsi" w:hAnsiTheme="minorHAnsi" w:cstheme="minorHAnsi"/>
          <w:sz w:val="22"/>
          <w:szCs w:val="22"/>
        </w:rPr>
        <w:t>For Life in Australia™, the approach for deriving weights generally consists of the following steps:</w:t>
      </w:r>
    </w:p>
    <w:p w14:paraId="15E3FCC6" w14:textId="77777777" w:rsidR="00CA666A" w:rsidRPr="000A2FD8" w:rsidRDefault="00CA666A" w:rsidP="00CA666A">
      <w:pPr>
        <w:pStyle w:val="ListParagraph"/>
        <w:numPr>
          <w:ilvl w:val="0"/>
          <w:numId w:val="2"/>
        </w:numPr>
        <w:spacing w:before="120" w:after="120" w:line="300" w:lineRule="auto"/>
        <w:ind w:hanging="357"/>
        <w:rPr>
          <w:rFonts w:cstheme="minorHAnsi"/>
        </w:rPr>
      </w:pPr>
      <w:r w:rsidRPr="000A2FD8">
        <w:rPr>
          <w:rFonts w:cstheme="minorHAnsi"/>
        </w:rPr>
        <w:t>Compute a base weight for each respondent as the product of two weights:</w:t>
      </w:r>
    </w:p>
    <w:p w14:paraId="6664EA34" w14:textId="77777777" w:rsidR="00CA666A" w:rsidRPr="000A2FD8" w:rsidRDefault="00CA666A" w:rsidP="00CA666A">
      <w:pPr>
        <w:pStyle w:val="ListParagraph"/>
        <w:numPr>
          <w:ilvl w:val="1"/>
          <w:numId w:val="2"/>
        </w:numPr>
        <w:spacing w:before="120" w:after="120" w:line="300" w:lineRule="auto"/>
        <w:ind w:hanging="357"/>
        <w:rPr>
          <w:rFonts w:cstheme="minorHAnsi"/>
        </w:rPr>
      </w:pPr>
      <w:r w:rsidRPr="000A2FD8">
        <w:rPr>
          <w:rFonts w:cstheme="minorHAnsi"/>
        </w:rPr>
        <w:t>Their enrolment weight, accounting for the initial chances of selection and subsequent post-stratification to key demographic benchmarks</w:t>
      </w:r>
    </w:p>
    <w:p w14:paraId="4879C886" w14:textId="77777777" w:rsidR="00CA666A" w:rsidRPr="00645E5E" w:rsidRDefault="00CA666A" w:rsidP="00CA666A">
      <w:pPr>
        <w:pStyle w:val="ListParagraph"/>
        <w:numPr>
          <w:ilvl w:val="1"/>
          <w:numId w:val="2"/>
        </w:numPr>
        <w:spacing w:before="120" w:after="120" w:line="300" w:lineRule="auto"/>
        <w:ind w:hanging="357"/>
        <w:rPr>
          <w:rFonts w:cstheme="minorHAnsi"/>
        </w:rPr>
      </w:pPr>
      <w:proofErr w:type="gramStart"/>
      <w:r w:rsidRPr="00645E5E">
        <w:rPr>
          <w:rFonts w:cstheme="minorHAnsi"/>
        </w:rPr>
        <w:t>Their response propensity weight,</w:t>
      </w:r>
      <w:proofErr w:type="gramEnd"/>
      <w:r w:rsidRPr="00645E5E">
        <w:rPr>
          <w:rFonts w:cstheme="minorHAnsi"/>
        </w:rPr>
        <w:t xml:space="preserve"> estimated from enrolment information available for both respondents and non-respondents to the present wave.</w:t>
      </w:r>
    </w:p>
    <w:p w14:paraId="030E8B49" w14:textId="77777777" w:rsidR="00CA666A" w:rsidRPr="00645E5E" w:rsidRDefault="00CA666A" w:rsidP="00CA666A">
      <w:pPr>
        <w:pStyle w:val="ListParagraph"/>
        <w:numPr>
          <w:ilvl w:val="0"/>
          <w:numId w:val="2"/>
        </w:numPr>
        <w:spacing w:before="120" w:after="120" w:line="300" w:lineRule="auto"/>
        <w:ind w:hanging="357"/>
        <w:rPr>
          <w:rFonts w:cstheme="minorHAnsi"/>
          <w:color w:val="000000"/>
          <w:lang w:eastAsia="en-AU"/>
        </w:rPr>
      </w:pPr>
      <w:r w:rsidRPr="00645E5E">
        <w:rPr>
          <w:rFonts w:cstheme="minorHAnsi"/>
        </w:rPr>
        <w:t>Calibrate the base weights so that they satisfy the latest population benchmarks for several demographic characteristics.</w:t>
      </w:r>
    </w:p>
    <w:p w14:paraId="60021163" w14:textId="77777777" w:rsidR="00CA666A" w:rsidRPr="00DC0581" w:rsidRDefault="00CA666A" w:rsidP="00CA666A">
      <w:pPr>
        <w:pStyle w:val="Body"/>
        <w:rPr>
          <w:rFonts w:asciiTheme="minorHAnsi" w:hAnsiTheme="minorHAnsi" w:cstheme="minorHAnsi"/>
          <w:b/>
          <w:color w:val="000000"/>
          <w:sz w:val="22"/>
          <w:szCs w:val="22"/>
          <w:lang w:eastAsia="en-AU"/>
        </w:rPr>
      </w:pPr>
      <w:r w:rsidRPr="00DC0581">
        <w:rPr>
          <w:rFonts w:asciiTheme="minorHAnsi" w:hAnsiTheme="minorHAnsi" w:cstheme="minorHAnsi"/>
          <w:color w:val="000000"/>
          <w:sz w:val="22"/>
          <w:szCs w:val="22"/>
          <w:lang w:eastAsia="en-AU"/>
        </w:rPr>
        <w:t xml:space="preserve">The first step is essential in providing the statistical framework necessary for making population inferences from a sample </w:t>
      </w:r>
      <w:r w:rsidRPr="00DC0581">
        <w:rPr>
          <w:rFonts w:asciiTheme="minorHAnsi" w:hAnsiTheme="minorHAnsi" w:cstheme="minorHAnsi"/>
          <w:sz w:val="22"/>
          <w:szCs w:val="22"/>
        </w:rPr>
        <w:t>survey</w:t>
      </w:r>
      <w:r w:rsidRPr="00DC0581">
        <w:rPr>
          <w:rFonts w:asciiTheme="minorHAnsi" w:hAnsiTheme="minorHAnsi" w:cstheme="minorHAnsi"/>
          <w:color w:val="000000"/>
          <w:sz w:val="22"/>
          <w:szCs w:val="22"/>
          <w:lang w:eastAsia="en-AU"/>
        </w:rPr>
        <w:t>. The second step accounts for non-response bias and ensures that survey estimates are consistent with other sources. Each step will now be covered in turn.</w:t>
      </w:r>
    </w:p>
    <w:p w14:paraId="4A61E0B4" w14:textId="77777777" w:rsidR="00CA666A" w:rsidRPr="00DC0581" w:rsidRDefault="00CA666A" w:rsidP="00CA666A">
      <w:pPr>
        <w:pStyle w:val="Heading4"/>
        <w:rPr>
          <w:rFonts w:asciiTheme="minorHAnsi" w:hAnsiTheme="minorHAnsi" w:cstheme="minorHAnsi"/>
          <w:lang w:eastAsia="en-AU"/>
        </w:rPr>
      </w:pPr>
      <w:bookmarkStart w:id="2" w:name="_Hlk525727065"/>
      <w:r w:rsidRPr="00DC0581">
        <w:rPr>
          <w:rFonts w:asciiTheme="minorHAnsi" w:hAnsiTheme="minorHAnsi" w:cstheme="minorHAnsi"/>
          <w:lang w:eastAsia="en-AU"/>
        </w:rPr>
        <w:t>Enrolment weights</w:t>
      </w:r>
    </w:p>
    <w:p w14:paraId="27F62CCA" w14:textId="77777777" w:rsidR="00CA666A" w:rsidRPr="00DC0581" w:rsidRDefault="00CA666A" w:rsidP="00CA666A">
      <w:pPr>
        <w:pStyle w:val="Body"/>
        <w:rPr>
          <w:rFonts w:asciiTheme="minorHAnsi" w:hAnsiTheme="minorHAnsi" w:cstheme="minorHAnsi"/>
          <w:sz w:val="22"/>
          <w:szCs w:val="22"/>
          <w:lang w:eastAsia="en-AU"/>
        </w:rPr>
      </w:pPr>
      <w:r w:rsidRPr="00DC0581">
        <w:rPr>
          <w:rFonts w:asciiTheme="minorHAnsi" w:hAnsiTheme="minorHAnsi" w:cstheme="minorHAnsi"/>
          <w:sz w:val="22"/>
          <w:szCs w:val="22"/>
          <w:lang w:eastAsia="en-AU"/>
        </w:rPr>
        <w:t>At the time that Life in Australia™ was established, design weights for all panel members were calculated as the inverse of their probability of selection. This was derived using a single-frame approach (Best, 2010), where the probability of selection (</w:t>
      </w:r>
      <m:oMath>
        <m:r>
          <w:rPr>
            <w:rFonts w:ascii="Cambria Math" w:hAnsi="Cambria Math" w:cstheme="minorHAnsi"/>
            <w:sz w:val="22"/>
            <w:szCs w:val="22"/>
            <w:lang w:eastAsia="en-AU"/>
          </w:rPr>
          <m:t>p</m:t>
        </m:r>
      </m:oMath>
      <w:r w:rsidRPr="00DC0581">
        <w:rPr>
          <w:rFonts w:asciiTheme="minorHAnsi" w:hAnsiTheme="minorHAnsi" w:cstheme="minorHAnsi"/>
          <w:sz w:val="22"/>
          <w:szCs w:val="22"/>
          <w:lang w:eastAsia="en-AU"/>
        </w:rPr>
        <w:t>) was calculated as:</w:t>
      </w:r>
    </w:p>
    <w:p w14:paraId="2A20FB3B" w14:textId="77777777" w:rsidR="00CA666A" w:rsidRPr="00DC0581" w:rsidRDefault="00CA666A" w:rsidP="00CA666A">
      <w:pPr>
        <w:pStyle w:val="Body"/>
        <w:rPr>
          <w:rFonts w:asciiTheme="minorHAnsi" w:hAnsiTheme="minorHAnsi" w:cstheme="minorHAnsi"/>
          <w:sz w:val="22"/>
          <w:szCs w:val="22"/>
          <w:lang w:eastAsia="en-AU"/>
        </w:rPr>
      </w:pPr>
      <m:oMathPara>
        <m:oMath>
          <m:r>
            <w:rPr>
              <w:rFonts w:ascii="Cambria Math" w:hAnsi="Cambria Math" w:cstheme="minorHAnsi"/>
              <w:sz w:val="22"/>
              <w:szCs w:val="22"/>
              <w:lang w:eastAsia="en-AU"/>
            </w:rPr>
            <m:t>p=</m:t>
          </m:r>
          <m:f>
            <m:fPr>
              <m:ctrlPr>
                <w:rPr>
                  <w:rFonts w:ascii="Cambria Math" w:hAnsi="Cambria Math" w:cstheme="minorHAnsi"/>
                  <w:i/>
                  <w:sz w:val="22"/>
                  <w:szCs w:val="22"/>
                  <w:lang w:eastAsia="en-AU"/>
                </w:rPr>
              </m:ctrlPr>
            </m:fPr>
            <m:num>
              <m:sSub>
                <m:sSubPr>
                  <m:ctrlPr>
                    <w:rPr>
                      <w:rFonts w:ascii="Cambria Math" w:hAnsi="Cambria Math" w:cstheme="minorHAnsi"/>
                      <w:i/>
                      <w:sz w:val="22"/>
                      <w:szCs w:val="22"/>
                      <w:lang w:eastAsia="en-AU"/>
                    </w:rPr>
                  </m:ctrlPr>
                </m:sSubPr>
                <m:e>
                  <m:r>
                    <w:rPr>
                      <w:rFonts w:ascii="Cambria Math" w:hAnsi="Cambria Math" w:cstheme="minorHAnsi"/>
                      <w:sz w:val="22"/>
                      <w:szCs w:val="22"/>
                      <w:lang w:eastAsia="en-AU"/>
                    </w:rPr>
                    <m:t>S</m:t>
                  </m:r>
                </m:e>
                <m:sub>
                  <m:r>
                    <w:rPr>
                      <w:rFonts w:ascii="Cambria Math" w:hAnsi="Cambria Math" w:cstheme="minorHAnsi"/>
                      <w:sz w:val="22"/>
                      <w:szCs w:val="22"/>
                      <w:lang w:eastAsia="en-AU"/>
                    </w:rPr>
                    <m:t>LL</m:t>
                  </m:r>
                </m:sub>
              </m:sSub>
              <m:r>
                <w:rPr>
                  <w:rFonts w:ascii="Cambria Math" w:hAnsi="Cambria Math" w:cstheme="minorHAnsi"/>
                  <w:sz w:val="22"/>
                  <w:szCs w:val="22"/>
                  <w:lang w:eastAsia="en-AU"/>
                </w:rPr>
                <m:t>×LL</m:t>
              </m:r>
            </m:num>
            <m:den>
              <m:sSub>
                <m:sSubPr>
                  <m:ctrlPr>
                    <w:rPr>
                      <w:rFonts w:ascii="Cambria Math" w:hAnsi="Cambria Math" w:cstheme="minorHAnsi"/>
                      <w:i/>
                      <w:sz w:val="22"/>
                      <w:szCs w:val="22"/>
                      <w:lang w:eastAsia="en-AU"/>
                    </w:rPr>
                  </m:ctrlPr>
                </m:sSubPr>
                <m:e>
                  <m:r>
                    <w:rPr>
                      <w:rFonts w:ascii="Cambria Math" w:hAnsi="Cambria Math" w:cstheme="minorHAnsi"/>
                      <w:sz w:val="22"/>
                      <w:szCs w:val="22"/>
                      <w:lang w:eastAsia="en-AU"/>
                    </w:rPr>
                    <m:t>U</m:t>
                  </m:r>
                </m:e>
                <m:sub>
                  <m:r>
                    <w:rPr>
                      <w:rFonts w:ascii="Cambria Math" w:hAnsi="Cambria Math" w:cstheme="minorHAnsi"/>
                      <w:sz w:val="22"/>
                      <w:szCs w:val="22"/>
                      <w:lang w:eastAsia="en-AU"/>
                    </w:rPr>
                    <m:t>LL</m:t>
                  </m:r>
                </m:sub>
              </m:sSub>
              <m:r>
                <w:rPr>
                  <w:rFonts w:ascii="Cambria Math" w:hAnsi="Cambria Math" w:cstheme="minorHAnsi"/>
                  <w:sz w:val="22"/>
                  <w:szCs w:val="22"/>
                  <w:lang w:eastAsia="en-AU"/>
                </w:rPr>
                <m:t>×</m:t>
              </m:r>
              <m:sSub>
                <m:sSubPr>
                  <m:ctrlPr>
                    <w:rPr>
                      <w:rFonts w:ascii="Cambria Math" w:hAnsi="Cambria Math" w:cstheme="minorHAnsi"/>
                      <w:i/>
                      <w:sz w:val="22"/>
                      <w:szCs w:val="22"/>
                      <w:lang w:eastAsia="en-AU"/>
                    </w:rPr>
                  </m:ctrlPr>
                </m:sSubPr>
                <m:e>
                  <m:r>
                    <w:rPr>
                      <w:rFonts w:ascii="Cambria Math" w:hAnsi="Cambria Math" w:cstheme="minorHAnsi"/>
                      <w:sz w:val="22"/>
                      <w:szCs w:val="22"/>
                      <w:lang w:eastAsia="en-AU"/>
                    </w:rPr>
                    <m:t>AD</m:t>
                  </m:r>
                </m:e>
                <m:sub>
                  <m:r>
                    <w:rPr>
                      <w:rFonts w:ascii="Cambria Math" w:hAnsi="Cambria Math" w:cstheme="minorHAnsi"/>
                      <w:sz w:val="22"/>
                      <w:szCs w:val="22"/>
                      <w:lang w:eastAsia="en-AU"/>
                    </w:rPr>
                    <m:t>LL</m:t>
                  </m:r>
                </m:sub>
              </m:sSub>
            </m:den>
          </m:f>
          <m:r>
            <w:rPr>
              <w:rFonts w:ascii="Cambria Math" w:hAnsi="Cambria Math" w:cstheme="minorHAnsi"/>
              <w:sz w:val="22"/>
              <w:szCs w:val="22"/>
              <w:lang w:eastAsia="en-AU"/>
            </w:rPr>
            <m:t>+</m:t>
          </m:r>
          <m:f>
            <m:fPr>
              <m:ctrlPr>
                <w:rPr>
                  <w:rFonts w:ascii="Cambria Math" w:hAnsi="Cambria Math" w:cstheme="minorHAnsi"/>
                  <w:i/>
                  <w:sz w:val="22"/>
                  <w:szCs w:val="22"/>
                  <w:lang w:eastAsia="en-AU"/>
                </w:rPr>
              </m:ctrlPr>
            </m:fPr>
            <m:num>
              <m:sSub>
                <m:sSubPr>
                  <m:ctrlPr>
                    <w:rPr>
                      <w:rFonts w:ascii="Cambria Math" w:hAnsi="Cambria Math" w:cstheme="minorHAnsi"/>
                      <w:i/>
                      <w:sz w:val="22"/>
                      <w:szCs w:val="22"/>
                      <w:lang w:eastAsia="en-AU"/>
                    </w:rPr>
                  </m:ctrlPr>
                </m:sSubPr>
                <m:e>
                  <m:r>
                    <w:rPr>
                      <w:rFonts w:ascii="Cambria Math" w:hAnsi="Cambria Math" w:cstheme="minorHAnsi"/>
                      <w:sz w:val="22"/>
                      <w:szCs w:val="22"/>
                      <w:lang w:eastAsia="en-AU"/>
                    </w:rPr>
                    <m:t>S</m:t>
                  </m:r>
                </m:e>
                <m:sub>
                  <m:r>
                    <w:rPr>
                      <w:rFonts w:ascii="Cambria Math" w:hAnsi="Cambria Math" w:cstheme="minorHAnsi"/>
                      <w:sz w:val="22"/>
                      <w:szCs w:val="22"/>
                      <w:lang w:eastAsia="en-AU"/>
                    </w:rPr>
                    <m:t>MP</m:t>
                  </m:r>
                </m:sub>
              </m:sSub>
              <m:r>
                <w:rPr>
                  <w:rFonts w:ascii="Cambria Math" w:hAnsi="Cambria Math" w:cstheme="minorHAnsi"/>
                  <w:sz w:val="22"/>
                  <w:szCs w:val="22"/>
                  <w:lang w:eastAsia="en-AU"/>
                </w:rPr>
                <m:t>×MP</m:t>
              </m:r>
            </m:num>
            <m:den>
              <m:sSub>
                <m:sSubPr>
                  <m:ctrlPr>
                    <w:rPr>
                      <w:rFonts w:ascii="Cambria Math" w:hAnsi="Cambria Math" w:cstheme="minorHAnsi"/>
                      <w:i/>
                      <w:sz w:val="22"/>
                      <w:szCs w:val="22"/>
                      <w:lang w:eastAsia="en-AU"/>
                    </w:rPr>
                  </m:ctrlPr>
                </m:sSubPr>
                <m:e>
                  <m:r>
                    <w:rPr>
                      <w:rFonts w:ascii="Cambria Math" w:hAnsi="Cambria Math" w:cstheme="minorHAnsi"/>
                      <w:sz w:val="22"/>
                      <w:szCs w:val="22"/>
                      <w:lang w:eastAsia="en-AU"/>
                    </w:rPr>
                    <m:t>U</m:t>
                  </m:r>
                </m:e>
                <m:sub>
                  <m:r>
                    <w:rPr>
                      <w:rFonts w:ascii="Cambria Math" w:hAnsi="Cambria Math" w:cstheme="minorHAnsi"/>
                      <w:sz w:val="22"/>
                      <w:szCs w:val="22"/>
                      <w:lang w:eastAsia="en-AU"/>
                    </w:rPr>
                    <m:t>MP</m:t>
                  </m:r>
                </m:sub>
              </m:sSub>
            </m:den>
          </m:f>
        </m:oMath>
      </m:oMathPara>
    </w:p>
    <w:p w14:paraId="4E52C29A" w14:textId="77777777" w:rsidR="00CA666A" w:rsidRPr="00DC0581" w:rsidRDefault="00CA666A" w:rsidP="00CA666A">
      <w:pPr>
        <w:pStyle w:val="Body"/>
        <w:rPr>
          <w:rFonts w:asciiTheme="minorHAnsi" w:hAnsiTheme="minorHAnsi" w:cstheme="minorHAnsi"/>
          <w:sz w:val="22"/>
          <w:szCs w:val="22"/>
          <w:lang w:eastAsia="en-AU"/>
        </w:rPr>
      </w:pPr>
      <w:r w:rsidRPr="00DC0581">
        <w:rPr>
          <w:rFonts w:asciiTheme="minorHAnsi" w:hAnsiTheme="minorHAnsi" w:cstheme="minorHAnsi"/>
          <w:sz w:val="22"/>
          <w:szCs w:val="22"/>
          <w:lang w:eastAsia="en-AU"/>
        </w:rPr>
        <w:t>where</w:t>
      </w:r>
    </w:p>
    <w:p w14:paraId="58006250" w14:textId="77777777" w:rsidR="00CA666A" w:rsidRPr="00DC0581" w:rsidRDefault="00CA666A" w:rsidP="00CA666A">
      <w:pPr>
        <w:pStyle w:val="Bullets1"/>
        <w:rPr>
          <w:rFonts w:asciiTheme="minorHAnsi" w:hAnsiTheme="minorHAnsi" w:cstheme="minorHAnsi"/>
          <w:sz w:val="22"/>
          <w:szCs w:val="22"/>
        </w:rPr>
      </w:pPr>
      <m:oMath>
        <m:sSub>
          <m:sSubPr>
            <m:ctrlPr>
              <w:rPr>
                <w:rFonts w:ascii="Cambria Math" w:hAnsi="Cambria Math" w:cstheme="minorHAnsi"/>
                <w:i/>
                <w:sz w:val="22"/>
                <w:szCs w:val="22"/>
                <w:lang w:eastAsia="en-AU"/>
              </w:rPr>
            </m:ctrlPr>
          </m:sSubPr>
          <m:e>
            <m:r>
              <w:rPr>
                <w:rFonts w:ascii="Cambria Math" w:hAnsi="Cambria Math" w:cstheme="minorHAnsi"/>
                <w:sz w:val="22"/>
                <w:szCs w:val="22"/>
                <w:lang w:eastAsia="en-AU"/>
              </w:rPr>
              <m:t>S</m:t>
            </m:r>
          </m:e>
          <m:sub>
            <m:r>
              <w:rPr>
                <w:rFonts w:ascii="Cambria Math" w:hAnsi="Cambria Math" w:cstheme="minorHAnsi"/>
                <w:sz w:val="22"/>
                <w:szCs w:val="22"/>
                <w:lang w:eastAsia="en-AU"/>
              </w:rPr>
              <m:t>LL</m:t>
            </m:r>
          </m:sub>
        </m:sSub>
      </m:oMath>
      <w:r w:rsidRPr="00DC0581">
        <w:rPr>
          <w:rFonts w:asciiTheme="minorHAnsi" w:eastAsiaTheme="minorEastAsia" w:hAnsiTheme="minorHAnsi" w:cstheme="minorHAnsi"/>
          <w:sz w:val="22"/>
          <w:szCs w:val="22"/>
          <w:lang w:eastAsia="en-AU"/>
        </w:rPr>
        <w:t xml:space="preserve"> </w:t>
      </w:r>
      <w:r w:rsidRPr="00DC0581">
        <w:rPr>
          <w:rFonts w:asciiTheme="minorHAnsi" w:hAnsiTheme="minorHAnsi" w:cstheme="minorHAnsi"/>
          <w:sz w:val="22"/>
          <w:szCs w:val="22"/>
        </w:rPr>
        <w:t xml:space="preserve">is the number of survey respondents contacted by </w:t>
      </w:r>
      <w:proofErr w:type="gramStart"/>
      <w:r w:rsidRPr="00DC0581">
        <w:rPr>
          <w:rFonts w:asciiTheme="minorHAnsi" w:hAnsiTheme="minorHAnsi" w:cstheme="minorHAnsi"/>
          <w:sz w:val="22"/>
          <w:szCs w:val="22"/>
        </w:rPr>
        <w:t>landline</w:t>
      </w:r>
      <w:proofErr w:type="gramEnd"/>
    </w:p>
    <w:p w14:paraId="21C88522" w14:textId="77777777" w:rsidR="00CA666A" w:rsidRPr="00DC0581" w:rsidRDefault="00CA666A" w:rsidP="00CA666A">
      <w:pPr>
        <w:pStyle w:val="Bullets1"/>
        <w:rPr>
          <w:rFonts w:asciiTheme="minorHAnsi" w:hAnsiTheme="minorHAnsi" w:cstheme="minorHAnsi"/>
          <w:sz w:val="22"/>
          <w:szCs w:val="22"/>
        </w:rPr>
      </w:pPr>
      <m:oMath>
        <m:sSub>
          <m:sSubPr>
            <m:ctrlPr>
              <w:rPr>
                <w:rFonts w:ascii="Cambria Math" w:hAnsi="Cambria Math" w:cstheme="minorHAnsi"/>
                <w:i/>
                <w:sz w:val="22"/>
                <w:szCs w:val="22"/>
                <w:lang w:eastAsia="en-AU"/>
              </w:rPr>
            </m:ctrlPr>
          </m:sSubPr>
          <m:e>
            <m:r>
              <w:rPr>
                <w:rFonts w:ascii="Cambria Math" w:hAnsi="Cambria Math" w:cstheme="minorHAnsi"/>
                <w:sz w:val="22"/>
                <w:szCs w:val="22"/>
                <w:lang w:eastAsia="en-AU"/>
              </w:rPr>
              <m:t>U</m:t>
            </m:r>
          </m:e>
          <m:sub>
            <m:r>
              <w:rPr>
                <w:rFonts w:ascii="Cambria Math" w:hAnsi="Cambria Math" w:cstheme="minorHAnsi"/>
                <w:sz w:val="22"/>
                <w:szCs w:val="22"/>
                <w:lang w:eastAsia="en-AU"/>
              </w:rPr>
              <m:t>LL</m:t>
            </m:r>
          </m:sub>
        </m:sSub>
      </m:oMath>
      <w:r w:rsidRPr="00DC0581">
        <w:rPr>
          <w:rFonts w:asciiTheme="minorHAnsi" w:hAnsiTheme="minorHAnsi" w:cstheme="minorHAnsi"/>
          <w:sz w:val="22"/>
          <w:szCs w:val="22"/>
          <w:vertAlign w:val="subscript"/>
        </w:rPr>
        <w:t xml:space="preserve"> </w:t>
      </w:r>
      <w:r w:rsidRPr="00DC0581">
        <w:rPr>
          <w:rFonts w:asciiTheme="minorHAnsi" w:hAnsiTheme="minorHAnsi" w:cstheme="minorHAnsi"/>
          <w:sz w:val="22"/>
          <w:szCs w:val="22"/>
        </w:rPr>
        <w:t>is the population of the universe of landline numbers (based on the number of households and the estimated proportion of households with a landline</w:t>
      </w:r>
      <w:proofErr w:type="gramStart"/>
      <w:r w:rsidRPr="00DC0581">
        <w:rPr>
          <w:rFonts w:asciiTheme="minorHAnsi" w:hAnsiTheme="minorHAnsi" w:cstheme="minorHAnsi"/>
          <w:sz w:val="22"/>
          <w:szCs w:val="22"/>
        </w:rPr>
        <w:t>)</w:t>
      </w:r>
      <w:proofErr w:type="gramEnd"/>
      <w:r w:rsidRPr="00DC0581">
        <w:rPr>
          <w:rFonts w:asciiTheme="minorHAnsi" w:hAnsiTheme="minorHAnsi" w:cstheme="minorHAnsi"/>
          <w:sz w:val="22"/>
          <w:szCs w:val="22"/>
        </w:rPr>
        <w:t xml:space="preserve"> </w:t>
      </w:r>
    </w:p>
    <w:p w14:paraId="24A83CAC" w14:textId="77777777" w:rsidR="00CA666A" w:rsidRPr="00DC0581" w:rsidRDefault="00CA666A" w:rsidP="00CA666A">
      <w:pPr>
        <w:pStyle w:val="Bullets1"/>
        <w:rPr>
          <w:rFonts w:asciiTheme="minorHAnsi" w:hAnsiTheme="minorHAnsi" w:cstheme="minorHAnsi"/>
          <w:sz w:val="22"/>
          <w:szCs w:val="22"/>
        </w:rPr>
      </w:pPr>
      <m:oMath>
        <m:r>
          <w:rPr>
            <w:rFonts w:ascii="Cambria Math" w:hAnsi="Cambria Math" w:cstheme="minorHAnsi"/>
            <w:sz w:val="22"/>
            <w:szCs w:val="22"/>
          </w:rPr>
          <m:t>LL</m:t>
        </m:r>
      </m:oMath>
      <w:r w:rsidRPr="00DC0581">
        <w:rPr>
          <w:rFonts w:asciiTheme="minorHAnsi" w:hAnsiTheme="minorHAnsi" w:cstheme="minorHAnsi"/>
          <w:sz w:val="22"/>
          <w:szCs w:val="22"/>
        </w:rPr>
        <w:t xml:space="preserve"> indicates the presence of a landline in the respondent’s household (0 = no landline, 1 = landline present)</w:t>
      </w:r>
    </w:p>
    <w:p w14:paraId="652C6BB9" w14:textId="77777777" w:rsidR="00CA666A" w:rsidRPr="00DC0581" w:rsidRDefault="00CA666A" w:rsidP="00CA666A">
      <w:pPr>
        <w:pStyle w:val="Bullets1"/>
        <w:rPr>
          <w:rFonts w:asciiTheme="minorHAnsi" w:hAnsiTheme="minorHAnsi" w:cstheme="minorHAnsi"/>
          <w:sz w:val="22"/>
          <w:szCs w:val="22"/>
        </w:rPr>
      </w:pPr>
      <m:oMath>
        <m:sSub>
          <m:sSubPr>
            <m:ctrlPr>
              <w:rPr>
                <w:rFonts w:ascii="Cambria Math" w:hAnsi="Cambria Math" w:cstheme="minorHAnsi"/>
                <w:i/>
                <w:sz w:val="22"/>
                <w:szCs w:val="22"/>
                <w:lang w:eastAsia="en-AU"/>
              </w:rPr>
            </m:ctrlPr>
          </m:sSubPr>
          <m:e>
            <m:r>
              <w:rPr>
                <w:rFonts w:ascii="Cambria Math" w:hAnsi="Cambria Math" w:cstheme="minorHAnsi"/>
                <w:sz w:val="22"/>
                <w:szCs w:val="22"/>
                <w:lang w:eastAsia="en-AU"/>
              </w:rPr>
              <m:t>AD</m:t>
            </m:r>
          </m:e>
          <m:sub>
            <m:r>
              <w:rPr>
                <w:rFonts w:ascii="Cambria Math" w:hAnsi="Cambria Math" w:cstheme="minorHAnsi"/>
                <w:sz w:val="22"/>
                <w:szCs w:val="22"/>
                <w:lang w:eastAsia="en-AU"/>
              </w:rPr>
              <m:t>LL</m:t>
            </m:r>
          </m:sub>
        </m:sSub>
      </m:oMath>
      <w:r w:rsidRPr="00DC0581">
        <w:rPr>
          <w:rFonts w:asciiTheme="minorHAnsi" w:hAnsiTheme="minorHAnsi" w:cstheme="minorHAnsi"/>
          <w:sz w:val="22"/>
          <w:szCs w:val="22"/>
        </w:rPr>
        <w:t xml:space="preserve"> is the number of in-scope adults in the respondent’s household</w:t>
      </w:r>
    </w:p>
    <w:p w14:paraId="742D7EDB" w14:textId="77777777" w:rsidR="00CA666A" w:rsidRPr="00DC0581" w:rsidRDefault="00CA666A" w:rsidP="00CA666A">
      <w:pPr>
        <w:pStyle w:val="Bullets1"/>
        <w:rPr>
          <w:rFonts w:asciiTheme="minorHAnsi" w:hAnsiTheme="minorHAnsi" w:cstheme="minorHAnsi"/>
          <w:sz w:val="22"/>
          <w:szCs w:val="22"/>
        </w:rPr>
      </w:pPr>
      <m:oMath>
        <m:sSub>
          <m:sSubPr>
            <m:ctrlPr>
              <w:rPr>
                <w:rFonts w:ascii="Cambria Math" w:hAnsi="Cambria Math" w:cstheme="minorHAnsi"/>
                <w:i/>
                <w:sz w:val="22"/>
                <w:szCs w:val="22"/>
                <w:lang w:eastAsia="en-AU"/>
              </w:rPr>
            </m:ctrlPr>
          </m:sSubPr>
          <m:e>
            <m:r>
              <w:rPr>
                <w:rFonts w:ascii="Cambria Math" w:hAnsi="Cambria Math" w:cstheme="minorHAnsi"/>
                <w:sz w:val="22"/>
                <w:szCs w:val="22"/>
                <w:lang w:eastAsia="en-AU"/>
              </w:rPr>
              <m:t>S</m:t>
            </m:r>
          </m:e>
          <m:sub>
            <m:r>
              <w:rPr>
                <w:rFonts w:ascii="Cambria Math" w:hAnsi="Cambria Math" w:cstheme="minorHAnsi"/>
                <w:sz w:val="22"/>
                <w:szCs w:val="22"/>
                <w:lang w:eastAsia="en-AU"/>
              </w:rPr>
              <m:t>MP</m:t>
            </m:r>
          </m:sub>
        </m:sSub>
      </m:oMath>
      <w:r w:rsidRPr="00DC0581">
        <w:rPr>
          <w:rFonts w:asciiTheme="minorHAnsi" w:hAnsiTheme="minorHAnsi" w:cstheme="minorHAnsi"/>
          <w:sz w:val="22"/>
          <w:szCs w:val="22"/>
          <w:vertAlign w:val="subscript"/>
        </w:rPr>
        <w:t xml:space="preserve"> </w:t>
      </w:r>
      <w:r w:rsidRPr="00DC0581">
        <w:rPr>
          <w:rFonts w:asciiTheme="minorHAnsi" w:hAnsiTheme="minorHAnsi" w:cstheme="minorHAnsi"/>
          <w:sz w:val="22"/>
          <w:szCs w:val="22"/>
        </w:rPr>
        <w:t xml:space="preserve">is the number of survey respondents contacted by </w:t>
      </w:r>
      <w:proofErr w:type="gramStart"/>
      <w:r w:rsidRPr="00DC0581">
        <w:rPr>
          <w:rFonts w:asciiTheme="minorHAnsi" w:hAnsiTheme="minorHAnsi" w:cstheme="minorHAnsi"/>
          <w:sz w:val="22"/>
          <w:szCs w:val="22"/>
        </w:rPr>
        <w:t>mobile</w:t>
      </w:r>
      <w:proofErr w:type="gramEnd"/>
    </w:p>
    <w:p w14:paraId="106891EB" w14:textId="77777777" w:rsidR="00CA666A" w:rsidRPr="00DC0581" w:rsidRDefault="00CA666A" w:rsidP="00CA666A">
      <w:pPr>
        <w:pStyle w:val="Bullets1"/>
        <w:rPr>
          <w:rFonts w:asciiTheme="minorHAnsi" w:hAnsiTheme="minorHAnsi" w:cstheme="minorHAnsi"/>
          <w:sz w:val="22"/>
          <w:szCs w:val="22"/>
        </w:rPr>
      </w:pPr>
      <m:oMath>
        <m:sSub>
          <m:sSubPr>
            <m:ctrlPr>
              <w:rPr>
                <w:rFonts w:ascii="Cambria Math" w:hAnsi="Cambria Math" w:cstheme="minorHAnsi"/>
                <w:i/>
                <w:sz w:val="22"/>
                <w:szCs w:val="22"/>
                <w:lang w:eastAsia="en-AU"/>
              </w:rPr>
            </m:ctrlPr>
          </m:sSubPr>
          <m:e>
            <m:r>
              <w:rPr>
                <w:rFonts w:ascii="Cambria Math" w:hAnsi="Cambria Math" w:cstheme="minorHAnsi"/>
                <w:sz w:val="22"/>
                <w:szCs w:val="22"/>
                <w:lang w:eastAsia="en-AU"/>
              </w:rPr>
              <m:t>U</m:t>
            </m:r>
          </m:e>
          <m:sub>
            <m:r>
              <w:rPr>
                <w:rFonts w:ascii="Cambria Math" w:hAnsi="Cambria Math" w:cstheme="minorHAnsi"/>
                <w:sz w:val="22"/>
                <w:szCs w:val="22"/>
                <w:lang w:eastAsia="en-AU"/>
              </w:rPr>
              <m:t>MP</m:t>
            </m:r>
          </m:sub>
        </m:sSub>
      </m:oMath>
      <w:r w:rsidRPr="00DC0581">
        <w:rPr>
          <w:rFonts w:asciiTheme="minorHAnsi" w:hAnsiTheme="minorHAnsi" w:cstheme="minorHAnsi"/>
          <w:sz w:val="22"/>
          <w:szCs w:val="22"/>
          <w:vertAlign w:val="subscript"/>
        </w:rPr>
        <w:t xml:space="preserve"> </w:t>
      </w:r>
      <w:r w:rsidRPr="00DC0581">
        <w:rPr>
          <w:rFonts w:asciiTheme="minorHAnsi" w:hAnsiTheme="minorHAnsi" w:cstheme="minorHAnsi"/>
          <w:sz w:val="22"/>
          <w:szCs w:val="22"/>
        </w:rPr>
        <w:t>is the population of the universe of mobile numbers (based on the number of adults and the average number of mobiles owned by each person</w:t>
      </w:r>
      <w:proofErr w:type="gramStart"/>
      <w:r w:rsidRPr="00DC0581">
        <w:rPr>
          <w:rFonts w:asciiTheme="minorHAnsi" w:hAnsiTheme="minorHAnsi" w:cstheme="minorHAnsi"/>
          <w:sz w:val="22"/>
          <w:szCs w:val="22"/>
        </w:rPr>
        <w:t>)</w:t>
      </w:r>
      <w:proofErr w:type="gramEnd"/>
    </w:p>
    <w:p w14:paraId="16B2AFAD" w14:textId="77777777" w:rsidR="00CA666A" w:rsidRPr="00DC0581" w:rsidRDefault="00CA666A" w:rsidP="00CA666A">
      <w:pPr>
        <w:pStyle w:val="Bullets1"/>
        <w:rPr>
          <w:rFonts w:asciiTheme="minorHAnsi" w:hAnsiTheme="minorHAnsi" w:cstheme="minorHAnsi"/>
          <w:sz w:val="22"/>
          <w:szCs w:val="22"/>
          <w:lang w:eastAsia="en-AU"/>
        </w:rPr>
      </w:pPr>
      <m:oMath>
        <m:r>
          <w:rPr>
            <w:rFonts w:ascii="Cambria Math" w:hAnsi="Cambria Math" w:cstheme="minorHAnsi"/>
            <w:sz w:val="22"/>
            <w:szCs w:val="22"/>
            <w:lang w:eastAsia="en-AU"/>
          </w:rPr>
          <m:t>MP</m:t>
        </m:r>
      </m:oMath>
      <w:r w:rsidRPr="00DC0581">
        <w:rPr>
          <w:rFonts w:asciiTheme="minorHAnsi" w:hAnsiTheme="minorHAnsi" w:cstheme="minorHAnsi"/>
          <w:sz w:val="22"/>
          <w:szCs w:val="22"/>
        </w:rPr>
        <w:t xml:space="preserve"> is an indicator that the respondent has a mobile phone (0 = no mobile phone, 1 = mobile phone).</w:t>
      </w:r>
    </w:p>
    <w:p w14:paraId="600A4860" w14:textId="77777777" w:rsidR="00CA666A" w:rsidRPr="00DC0581" w:rsidRDefault="00CA666A" w:rsidP="00CA666A">
      <w:pPr>
        <w:pStyle w:val="Heading4"/>
        <w:rPr>
          <w:rFonts w:asciiTheme="minorHAnsi" w:hAnsiTheme="minorHAnsi" w:cstheme="minorHAnsi"/>
        </w:rPr>
      </w:pPr>
      <w:r w:rsidRPr="00DC0581">
        <w:rPr>
          <w:rFonts w:asciiTheme="minorHAnsi" w:hAnsiTheme="minorHAnsi" w:cstheme="minorHAnsi"/>
        </w:rPr>
        <w:t>Adjustment for sample attrition</w:t>
      </w:r>
    </w:p>
    <w:p w14:paraId="0587847D" w14:textId="77777777" w:rsidR="00CA666A" w:rsidRPr="00DC0581" w:rsidRDefault="00CA666A" w:rsidP="00CA666A">
      <w:pPr>
        <w:pStyle w:val="Body"/>
        <w:rPr>
          <w:rFonts w:asciiTheme="minorHAnsi" w:hAnsiTheme="minorHAnsi" w:cstheme="minorHAnsi"/>
          <w:sz w:val="22"/>
          <w:szCs w:val="22"/>
          <w:lang w:eastAsia="en-AU"/>
        </w:rPr>
      </w:pPr>
      <w:r w:rsidRPr="00DC0581">
        <w:rPr>
          <w:rFonts w:asciiTheme="minorHAnsi" w:hAnsiTheme="minorHAnsi" w:cstheme="minorHAnsi"/>
          <w:sz w:val="22"/>
          <w:szCs w:val="22"/>
          <w:lang w:eastAsia="en-AU"/>
        </w:rPr>
        <w:t xml:space="preserve">As is typical for a panel survey, not all members respond to all waves, some are retired from the panel and new members are recruited. To limit the impact of such events on the representativeness of estimates made from respondents, enrolment weights are adjusted </w:t>
      </w:r>
      <w:proofErr w:type="gramStart"/>
      <w:r w:rsidRPr="00DC0581">
        <w:rPr>
          <w:rFonts w:asciiTheme="minorHAnsi" w:hAnsiTheme="minorHAnsi" w:cstheme="minorHAnsi"/>
          <w:sz w:val="22"/>
          <w:szCs w:val="22"/>
          <w:lang w:eastAsia="en-AU"/>
        </w:rPr>
        <w:t>through the use of</w:t>
      </w:r>
      <w:proofErr w:type="gramEnd"/>
      <w:r w:rsidRPr="00DC0581">
        <w:rPr>
          <w:rFonts w:asciiTheme="minorHAnsi" w:hAnsiTheme="minorHAnsi" w:cstheme="minorHAnsi"/>
          <w:sz w:val="22"/>
          <w:szCs w:val="22"/>
          <w:lang w:eastAsia="en-AU"/>
        </w:rPr>
        <w:t xml:space="preserve"> propensity scores (Rosenbaum and Rubin, 1983). These were calculated through a logistic regression model predicting the likelihood of a panel member participating in the current wave, conditional on characteristics available for both respondents and non-respondents.</w:t>
      </w:r>
    </w:p>
    <w:p w14:paraId="3AF25B52" w14:textId="77777777" w:rsidR="00CA666A" w:rsidRPr="00DC0581" w:rsidRDefault="00CA666A" w:rsidP="00CA666A">
      <w:pPr>
        <w:pStyle w:val="Body"/>
        <w:rPr>
          <w:rFonts w:asciiTheme="minorHAnsi" w:hAnsiTheme="minorHAnsi" w:cstheme="minorHAnsi"/>
          <w:sz w:val="22"/>
          <w:szCs w:val="22"/>
          <w:lang w:eastAsia="en-AU"/>
        </w:rPr>
      </w:pPr>
      <w:r w:rsidRPr="00DC0581">
        <w:rPr>
          <w:rFonts w:asciiTheme="minorHAnsi" w:hAnsiTheme="minorHAnsi" w:cstheme="minorHAnsi"/>
          <w:sz w:val="22"/>
          <w:szCs w:val="22"/>
          <w:lang w:eastAsia="en-AU"/>
        </w:rPr>
        <w:t>The model incorporated characteristics such as location (state / part of state), socio-economic indexes for areas, remoteness, age group, gender, citizenship status, speaking a language other than English, Aboriginal or Torres Strait Islander status, number of adults in the household, number of children in the household, household type, whether the respondent had worked in the last week, employment status, education, television viewing, digital affinity, caregiving, disability, volunteer status, phone status and sampling frame (landline or mobile).</w:t>
      </w:r>
    </w:p>
    <w:p w14:paraId="7EA61D32" w14:textId="77777777" w:rsidR="00CA666A" w:rsidRPr="00DC0581" w:rsidRDefault="00CA666A" w:rsidP="00CA666A">
      <w:pPr>
        <w:pStyle w:val="Body"/>
        <w:rPr>
          <w:rFonts w:asciiTheme="minorHAnsi" w:hAnsiTheme="minorHAnsi" w:cstheme="minorHAnsi"/>
          <w:sz w:val="22"/>
          <w:szCs w:val="22"/>
          <w:lang w:eastAsia="en-AU"/>
        </w:rPr>
      </w:pPr>
      <w:r w:rsidRPr="00DC0581">
        <w:rPr>
          <w:rFonts w:asciiTheme="minorHAnsi" w:hAnsiTheme="minorHAnsi" w:cstheme="minorHAnsi"/>
          <w:sz w:val="22"/>
          <w:szCs w:val="22"/>
          <w:lang w:eastAsia="en-AU"/>
        </w:rPr>
        <w:t xml:space="preserve">To reduce the impact of very low or very high values, the predicted probabilities were collapsed into five classes (Cochran, 1968), with propensity scores assigned as the mean probability within each class. Base weights were then assigned as the product of the enrolment weight and the inverse of the propensity class score. </w:t>
      </w:r>
    </w:p>
    <w:p w14:paraId="45BB0126" w14:textId="77777777" w:rsidR="00CA666A" w:rsidRPr="00DC0581" w:rsidRDefault="00CA666A" w:rsidP="00CA666A">
      <w:pPr>
        <w:pStyle w:val="Heading4"/>
        <w:rPr>
          <w:rFonts w:asciiTheme="minorHAnsi" w:hAnsiTheme="minorHAnsi" w:cstheme="minorHAnsi"/>
        </w:rPr>
      </w:pPr>
      <w:r w:rsidRPr="00DC0581">
        <w:rPr>
          <w:rFonts w:asciiTheme="minorHAnsi" w:hAnsiTheme="minorHAnsi" w:cstheme="minorHAnsi"/>
        </w:rPr>
        <w:t>Calibrated weights</w:t>
      </w:r>
    </w:p>
    <w:p w14:paraId="3227DD8E" w14:textId="77777777" w:rsidR="00CA666A" w:rsidRPr="00DC0581" w:rsidRDefault="00CA666A" w:rsidP="00CA666A">
      <w:pPr>
        <w:pStyle w:val="Body"/>
        <w:rPr>
          <w:rFonts w:asciiTheme="minorHAnsi" w:hAnsiTheme="minorHAnsi" w:cstheme="minorHAnsi"/>
          <w:sz w:val="22"/>
          <w:szCs w:val="22"/>
        </w:rPr>
      </w:pPr>
      <w:r w:rsidRPr="00DC0581">
        <w:rPr>
          <w:rFonts w:asciiTheme="minorHAnsi" w:hAnsiTheme="minorHAnsi" w:cstheme="minorHAnsi"/>
          <w:sz w:val="22"/>
          <w:szCs w:val="22"/>
          <w:lang w:eastAsia="en-AU"/>
        </w:rPr>
        <w:t xml:space="preserve">To ensure that estimates made from the dataset are representative of Australians aged 18 years to 45 years, the base weights were calibrated so that their distribution matched external benchmarks for the demographic parameters shown in the </w:t>
      </w:r>
      <w:r>
        <w:rPr>
          <w:rFonts w:asciiTheme="minorHAnsi" w:hAnsiTheme="minorHAnsi" w:cstheme="minorHAnsi"/>
          <w:sz w:val="22"/>
          <w:szCs w:val="22"/>
          <w:lang w:eastAsia="en-AU"/>
        </w:rPr>
        <w:t>able below</w:t>
      </w:r>
      <w:r w:rsidRPr="00DC0581">
        <w:rPr>
          <w:rFonts w:asciiTheme="minorHAnsi" w:hAnsiTheme="minorHAnsi" w:cstheme="minorHAnsi"/>
          <w:sz w:val="22"/>
          <w:szCs w:val="22"/>
          <w:lang w:eastAsia="en-AU"/>
        </w:rPr>
        <w:t xml:space="preserve">. </w:t>
      </w:r>
      <w:r w:rsidRPr="00DC0581">
        <w:rPr>
          <w:rFonts w:asciiTheme="minorHAnsi" w:hAnsiTheme="minorHAnsi" w:cstheme="minorHAnsi"/>
          <w:sz w:val="22"/>
          <w:szCs w:val="22"/>
        </w:rPr>
        <w:t xml:space="preserve">The calibration method applied was generalised regression (GREG) weighting which uses non-linear optimisation to minimise the distance between the design and calibrated weights, subject to the weights meeting the benchmarks (Deville and </w:t>
      </w:r>
      <w:proofErr w:type="spellStart"/>
      <w:r w:rsidRPr="00DC0581">
        <w:rPr>
          <w:rFonts w:asciiTheme="minorHAnsi" w:hAnsiTheme="minorHAnsi" w:cstheme="minorHAnsi"/>
          <w:sz w:val="22"/>
          <w:szCs w:val="22"/>
        </w:rPr>
        <w:t>Särndal</w:t>
      </w:r>
      <w:proofErr w:type="spellEnd"/>
      <w:r w:rsidRPr="00DC0581">
        <w:rPr>
          <w:rFonts w:asciiTheme="minorHAnsi" w:hAnsiTheme="minorHAnsi" w:cstheme="minorHAnsi"/>
          <w:sz w:val="22"/>
          <w:szCs w:val="22"/>
        </w:rPr>
        <w:t>, 1992).</w:t>
      </w:r>
      <w:r w:rsidRPr="00DC0581">
        <w:rPr>
          <w:rStyle w:val="FootnoteReference"/>
          <w:rFonts w:asciiTheme="minorHAnsi" w:hAnsiTheme="minorHAnsi" w:cstheme="minorHAnsi"/>
          <w:sz w:val="22"/>
          <w:szCs w:val="22"/>
        </w:rPr>
        <w:footnoteReference w:id="1"/>
      </w:r>
    </w:p>
    <w:p w14:paraId="3E6B66C1" w14:textId="77777777" w:rsidR="00CA666A" w:rsidRPr="00DC0581" w:rsidRDefault="00CA666A" w:rsidP="00CA666A">
      <w:pPr>
        <w:pStyle w:val="Body"/>
        <w:rPr>
          <w:rFonts w:asciiTheme="minorHAnsi" w:hAnsiTheme="minorHAnsi" w:cstheme="minorHAnsi"/>
          <w:sz w:val="22"/>
          <w:szCs w:val="22"/>
        </w:rPr>
      </w:pPr>
      <w:r w:rsidRPr="00DC0581">
        <w:rPr>
          <w:rFonts w:asciiTheme="minorHAnsi" w:hAnsiTheme="minorHAnsi" w:cstheme="minorHAnsi"/>
          <w:sz w:val="22"/>
          <w:szCs w:val="22"/>
        </w:rPr>
        <w:t xml:space="preserve">Large differences in weights may lead to large variances in survey estimates, and so limiting these variations can improve the precision of estimates. The use of weighting constraints aims to reduce the variance at the same time as limiting increases in the bias. The method applied is incorporated directly </w:t>
      </w:r>
      <w:r w:rsidRPr="00DC0581">
        <w:rPr>
          <w:rFonts w:asciiTheme="minorHAnsi" w:hAnsiTheme="minorHAnsi" w:cstheme="minorHAnsi"/>
          <w:sz w:val="22"/>
          <w:szCs w:val="22"/>
        </w:rPr>
        <w:lastRenderedPageBreak/>
        <w:t>in the calibration process. The impact of setting bounds on the weights is assessed by comparing the weighting efficiency (Kish, 1992) of calibrated weights for different constraints. Bounded weights are generally preferred when their efficiency is close to that of the unbounded weights.</w:t>
      </w:r>
    </w:p>
    <w:p w14:paraId="3951CF9B" w14:textId="77777777" w:rsidR="00CA666A" w:rsidRPr="00DC0581" w:rsidRDefault="00CA666A" w:rsidP="00CA666A">
      <w:pPr>
        <w:pStyle w:val="Caption"/>
        <w:keepNext/>
        <w:rPr>
          <w:rFonts w:asciiTheme="minorHAnsi" w:hAnsiTheme="minorHAnsi" w:cstheme="minorHAnsi"/>
          <w:sz w:val="22"/>
          <w:szCs w:val="22"/>
        </w:rPr>
      </w:pPr>
      <w:bookmarkStart w:id="3" w:name="_Toc472601178"/>
      <w:bookmarkStart w:id="4" w:name="_Toc9326623"/>
      <w:bookmarkStart w:id="5" w:name="_Toc10032555"/>
      <w:bookmarkStart w:id="6" w:name="_Toc10625349"/>
      <w:r w:rsidRPr="00DC0581">
        <w:rPr>
          <w:rFonts w:asciiTheme="minorHAnsi" w:hAnsiTheme="minorHAnsi" w:cstheme="minorHAnsi"/>
          <w:sz w:val="22"/>
          <w:szCs w:val="22"/>
        </w:rPr>
        <w:t>Variables used for calibration, with population distributions</w:t>
      </w:r>
      <w:bookmarkEnd w:id="3"/>
      <w:bookmarkEnd w:id="4"/>
      <w:bookmarkEnd w:id="5"/>
      <w:r w:rsidRPr="00DC0581">
        <w:rPr>
          <w:rFonts w:asciiTheme="minorHAnsi" w:hAnsiTheme="minorHAnsi" w:cstheme="minorHAnsi"/>
          <w:sz w:val="22"/>
          <w:szCs w:val="22"/>
        </w:rPr>
        <w:t xml:space="preserve"> and source</w:t>
      </w:r>
      <w:bookmarkEnd w:id="6"/>
    </w:p>
    <w:tbl>
      <w:tblPr>
        <w:tblStyle w:val="SRC"/>
        <w:tblW w:w="5000" w:type="pct"/>
        <w:tblLook w:val="04A0" w:firstRow="1" w:lastRow="0" w:firstColumn="1" w:lastColumn="0" w:noHBand="0" w:noVBand="1"/>
      </w:tblPr>
      <w:tblGrid>
        <w:gridCol w:w="1934"/>
        <w:gridCol w:w="2623"/>
        <w:gridCol w:w="1735"/>
        <w:gridCol w:w="3068"/>
      </w:tblGrid>
      <w:tr w:rsidR="00CA666A" w:rsidRPr="00645E5E" w14:paraId="22713553" w14:textId="77777777" w:rsidTr="00FF70F0">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33" w:type="pct"/>
            <w:tcBorders>
              <w:bottom w:val="single" w:sz="8" w:space="0" w:color="4472C4" w:themeColor="accent1"/>
            </w:tcBorders>
            <w:vAlign w:val="top"/>
            <w:hideMark/>
          </w:tcPr>
          <w:p w14:paraId="129650D1" w14:textId="77777777" w:rsidR="00CA666A" w:rsidRPr="00DC0581" w:rsidRDefault="00CA666A" w:rsidP="00FF70F0">
            <w:pPr>
              <w:keepNext/>
              <w:jc w:val="left"/>
              <w:rPr>
                <w:rFonts w:asciiTheme="minorHAnsi" w:eastAsia="Times New Roman" w:hAnsiTheme="minorHAnsi" w:cstheme="minorHAnsi"/>
                <w:b w:val="0"/>
                <w:bCs/>
                <w:color w:val="FFFFFF"/>
                <w:sz w:val="22"/>
                <w:lang w:eastAsia="en-AU"/>
              </w:rPr>
            </w:pPr>
            <w:r w:rsidRPr="00DC0581">
              <w:rPr>
                <w:rFonts w:eastAsia="Times New Roman" w:cstheme="minorHAnsi"/>
                <w:bCs/>
                <w:color w:val="FFFFFF"/>
                <w:lang w:eastAsia="en-AU"/>
              </w:rPr>
              <w:t>Characteristic</w:t>
            </w:r>
          </w:p>
        </w:tc>
        <w:tc>
          <w:tcPr>
            <w:tcW w:w="1401" w:type="pct"/>
            <w:tcBorders>
              <w:bottom w:val="single" w:sz="8" w:space="0" w:color="4472C4" w:themeColor="accent1"/>
            </w:tcBorders>
            <w:vAlign w:val="top"/>
            <w:hideMark/>
          </w:tcPr>
          <w:p w14:paraId="2BA71DCC" w14:textId="77777777" w:rsidR="00CA666A" w:rsidRPr="00DC0581" w:rsidRDefault="00CA666A" w:rsidP="00FF70F0">
            <w:pPr>
              <w:keepNext/>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color w:val="FFFFFF"/>
                <w:sz w:val="22"/>
                <w:lang w:eastAsia="en-AU"/>
              </w:rPr>
            </w:pPr>
            <w:r w:rsidRPr="00DC0581">
              <w:rPr>
                <w:rFonts w:eastAsia="Times New Roman" w:cstheme="minorHAnsi"/>
                <w:bCs/>
                <w:color w:val="FFFFFF"/>
                <w:lang w:eastAsia="en-AU"/>
              </w:rPr>
              <w:t>Category</w:t>
            </w:r>
          </w:p>
        </w:tc>
        <w:tc>
          <w:tcPr>
            <w:tcW w:w="927" w:type="pct"/>
            <w:tcBorders>
              <w:bottom w:val="single" w:sz="8" w:space="0" w:color="4472C4" w:themeColor="accent1"/>
            </w:tcBorders>
            <w:vAlign w:val="top"/>
            <w:hideMark/>
          </w:tcPr>
          <w:p w14:paraId="452ED39B" w14:textId="77777777" w:rsidR="00CA666A" w:rsidRPr="00DC0581" w:rsidRDefault="00CA666A" w:rsidP="00FF70F0">
            <w:pPr>
              <w:keepNex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color w:val="FFFFFF"/>
                <w:sz w:val="22"/>
                <w:lang w:eastAsia="en-AU"/>
              </w:rPr>
            </w:pPr>
            <w:r w:rsidRPr="00DC0581">
              <w:rPr>
                <w:rFonts w:eastAsia="Times New Roman" w:cstheme="minorHAnsi"/>
                <w:bCs/>
                <w:color w:val="FFFFFF"/>
                <w:lang w:eastAsia="en-AU"/>
              </w:rPr>
              <w:t>Population (%)</w:t>
            </w:r>
          </w:p>
        </w:tc>
        <w:tc>
          <w:tcPr>
            <w:tcW w:w="1639" w:type="pct"/>
            <w:tcBorders>
              <w:bottom w:val="single" w:sz="8" w:space="0" w:color="4472C4" w:themeColor="accent1"/>
            </w:tcBorders>
            <w:vAlign w:val="top"/>
            <w:hideMark/>
          </w:tcPr>
          <w:p w14:paraId="3078B980" w14:textId="77777777" w:rsidR="00CA666A" w:rsidRPr="00DC0581" w:rsidRDefault="00CA666A" w:rsidP="00FF70F0">
            <w:pPr>
              <w:keepNext/>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color w:val="FFFFFF"/>
                <w:sz w:val="22"/>
                <w:lang w:eastAsia="en-AU"/>
              </w:rPr>
            </w:pPr>
            <w:r w:rsidRPr="00DC0581">
              <w:rPr>
                <w:rFonts w:eastAsia="Times New Roman" w:cstheme="minorHAnsi"/>
                <w:bCs/>
                <w:color w:val="FFFFFF"/>
                <w:lang w:eastAsia="en-AU"/>
              </w:rPr>
              <w:t>Source</w:t>
            </w:r>
          </w:p>
        </w:tc>
      </w:tr>
      <w:tr w:rsidR="00CA666A" w:rsidRPr="00645E5E" w14:paraId="4B2E7F57" w14:textId="77777777" w:rsidTr="00FF70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val="restart"/>
            <w:tcBorders>
              <w:top w:val="single" w:sz="8" w:space="0" w:color="4472C4" w:themeColor="accent1"/>
              <w:bottom w:val="single" w:sz="8" w:space="0" w:color="4472C4" w:themeColor="accent1"/>
            </w:tcBorders>
            <w:shd w:val="clear" w:color="auto" w:fill="auto"/>
            <w:vAlign w:val="top"/>
            <w:hideMark/>
          </w:tcPr>
          <w:p w14:paraId="6C17721D" w14:textId="77777777" w:rsidR="00CA666A" w:rsidRPr="00DC0581" w:rsidRDefault="00CA666A" w:rsidP="00FF70F0">
            <w:pPr>
              <w:keepNext/>
              <w:rPr>
                <w:rFonts w:asciiTheme="minorHAnsi" w:eastAsia="Times New Roman" w:hAnsiTheme="minorHAnsi" w:cstheme="minorHAnsi"/>
                <w:b/>
                <w:bCs/>
                <w:color w:val="000000"/>
                <w:sz w:val="22"/>
                <w:lang w:eastAsia="en-AU"/>
              </w:rPr>
            </w:pPr>
            <w:r w:rsidRPr="00DC0581">
              <w:rPr>
                <w:rFonts w:eastAsia="Times New Roman" w:cstheme="minorHAnsi"/>
                <w:b/>
                <w:bCs/>
                <w:color w:val="000000"/>
                <w:lang w:eastAsia="en-AU"/>
              </w:rPr>
              <w:t>Age group / Highest level of education</w:t>
            </w:r>
          </w:p>
        </w:tc>
        <w:tc>
          <w:tcPr>
            <w:tcW w:w="1401" w:type="pct"/>
            <w:tcBorders>
              <w:top w:val="single" w:sz="8" w:space="0" w:color="4472C4" w:themeColor="accent1"/>
              <w:bottom w:val="nil"/>
            </w:tcBorders>
            <w:shd w:val="clear" w:color="auto" w:fill="auto"/>
            <w:vAlign w:val="top"/>
            <w:hideMark/>
          </w:tcPr>
          <w:p w14:paraId="5A81AEE1"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18-24 Bachelor and above</w:t>
            </w:r>
          </w:p>
        </w:tc>
        <w:tc>
          <w:tcPr>
            <w:tcW w:w="927" w:type="pct"/>
            <w:tcBorders>
              <w:top w:val="single" w:sz="8" w:space="0" w:color="4472C4" w:themeColor="accent1"/>
              <w:bottom w:val="nil"/>
            </w:tcBorders>
            <w:shd w:val="clear" w:color="auto" w:fill="auto"/>
            <w:vAlign w:val="top"/>
          </w:tcPr>
          <w:p w14:paraId="3C1EE0C1" w14:textId="77777777" w:rsidR="00CA666A" w:rsidRPr="00DC0581" w:rsidRDefault="00CA666A" w:rsidP="00FF70F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DC0581">
              <w:rPr>
                <w:rFonts w:cstheme="minorHAnsi"/>
                <w:color w:val="000000"/>
              </w:rPr>
              <w:t>3.4</w:t>
            </w:r>
          </w:p>
        </w:tc>
        <w:tc>
          <w:tcPr>
            <w:tcW w:w="1639" w:type="pct"/>
            <w:vMerge w:val="restart"/>
            <w:tcBorders>
              <w:top w:val="single" w:sz="8" w:space="0" w:color="4472C4" w:themeColor="accent1"/>
              <w:bottom w:val="single" w:sz="8" w:space="0" w:color="4472C4" w:themeColor="accent1"/>
            </w:tcBorders>
            <w:shd w:val="clear" w:color="auto" w:fill="auto"/>
            <w:vAlign w:val="top"/>
            <w:hideMark/>
          </w:tcPr>
          <w:p w14:paraId="07A11EFD"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ABS Table Builder Census 2016 and ABS Australian Demographic Statistics Dec 2017</w:t>
            </w:r>
          </w:p>
        </w:tc>
      </w:tr>
      <w:tr w:rsidR="00CA666A" w:rsidRPr="00645E5E" w14:paraId="4AA02EB5" w14:textId="77777777" w:rsidTr="00FF70F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51D8059F"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DEF2FA"/>
            <w:vAlign w:val="top"/>
            <w:hideMark/>
          </w:tcPr>
          <w:p w14:paraId="675C7682"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18-24 Below Bachelor</w:t>
            </w:r>
          </w:p>
        </w:tc>
        <w:tc>
          <w:tcPr>
            <w:tcW w:w="927" w:type="pct"/>
            <w:tcBorders>
              <w:top w:val="nil"/>
              <w:bottom w:val="nil"/>
            </w:tcBorders>
            <w:shd w:val="clear" w:color="auto" w:fill="DEF2FA"/>
            <w:vAlign w:val="top"/>
          </w:tcPr>
          <w:p w14:paraId="613B3995" w14:textId="77777777" w:rsidR="00CA666A" w:rsidRPr="00DC0581" w:rsidRDefault="00CA666A" w:rsidP="00FF70F0">
            <w:pPr>
              <w:keepNex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DC0581">
              <w:rPr>
                <w:rFonts w:cstheme="minorHAnsi"/>
                <w:color w:val="000000"/>
              </w:rPr>
              <w:t>21.8</w:t>
            </w:r>
          </w:p>
        </w:tc>
        <w:tc>
          <w:tcPr>
            <w:tcW w:w="1639" w:type="pct"/>
            <w:vMerge/>
            <w:tcBorders>
              <w:top w:val="single" w:sz="8" w:space="0" w:color="4472C4" w:themeColor="accent1"/>
              <w:bottom w:val="single" w:sz="8" w:space="0" w:color="4472C4" w:themeColor="accent1"/>
            </w:tcBorders>
            <w:shd w:val="clear" w:color="auto" w:fill="auto"/>
            <w:vAlign w:val="top"/>
            <w:hideMark/>
          </w:tcPr>
          <w:p w14:paraId="381CF999"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38EE350B" w14:textId="77777777" w:rsidTr="00FF70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7E2CC492"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auto"/>
            <w:vAlign w:val="top"/>
            <w:hideMark/>
          </w:tcPr>
          <w:p w14:paraId="167E07AF"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25-34 Bachelor and above</w:t>
            </w:r>
          </w:p>
        </w:tc>
        <w:tc>
          <w:tcPr>
            <w:tcW w:w="927" w:type="pct"/>
            <w:tcBorders>
              <w:top w:val="nil"/>
              <w:bottom w:val="nil"/>
            </w:tcBorders>
            <w:shd w:val="clear" w:color="auto" w:fill="auto"/>
            <w:vAlign w:val="top"/>
          </w:tcPr>
          <w:p w14:paraId="7BF974C0" w14:textId="77777777" w:rsidR="00CA666A" w:rsidRPr="00DC0581" w:rsidRDefault="00CA666A" w:rsidP="00FF70F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DC0581">
              <w:rPr>
                <w:rFonts w:cstheme="minorHAnsi"/>
                <w:color w:val="000000"/>
              </w:rPr>
              <w:t>15.3</w:t>
            </w:r>
          </w:p>
        </w:tc>
        <w:tc>
          <w:tcPr>
            <w:tcW w:w="1639" w:type="pct"/>
            <w:vMerge/>
            <w:tcBorders>
              <w:top w:val="single" w:sz="8" w:space="0" w:color="4472C4" w:themeColor="accent1"/>
              <w:bottom w:val="single" w:sz="8" w:space="0" w:color="4472C4" w:themeColor="accent1"/>
            </w:tcBorders>
            <w:shd w:val="clear" w:color="auto" w:fill="auto"/>
            <w:vAlign w:val="top"/>
            <w:hideMark/>
          </w:tcPr>
          <w:p w14:paraId="2C00E216"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470DD6AB" w14:textId="77777777" w:rsidTr="00FF70F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2575B2AD"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DEF2FA"/>
            <w:vAlign w:val="top"/>
            <w:hideMark/>
          </w:tcPr>
          <w:p w14:paraId="2F545BDC"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25-34 Below Bachelor</w:t>
            </w:r>
          </w:p>
        </w:tc>
        <w:tc>
          <w:tcPr>
            <w:tcW w:w="927" w:type="pct"/>
            <w:tcBorders>
              <w:top w:val="nil"/>
              <w:bottom w:val="nil"/>
            </w:tcBorders>
            <w:shd w:val="clear" w:color="auto" w:fill="DEF2FA"/>
            <w:vAlign w:val="top"/>
          </w:tcPr>
          <w:p w14:paraId="5254C590" w14:textId="77777777" w:rsidR="00CA666A" w:rsidRPr="00DC0581" w:rsidRDefault="00CA666A" w:rsidP="00FF70F0">
            <w:pPr>
              <w:keepNex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DC0581">
              <w:rPr>
                <w:rFonts w:cstheme="minorHAnsi"/>
                <w:color w:val="000000"/>
              </w:rPr>
              <w:t>24.4</w:t>
            </w:r>
          </w:p>
        </w:tc>
        <w:tc>
          <w:tcPr>
            <w:tcW w:w="1639" w:type="pct"/>
            <w:vMerge/>
            <w:tcBorders>
              <w:top w:val="single" w:sz="8" w:space="0" w:color="4472C4" w:themeColor="accent1"/>
              <w:bottom w:val="single" w:sz="8" w:space="0" w:color="4472C4" w:themeColor="accent1"/>
            </w:tcBorders>
            <w:shd w:val="clear" w:color="auto" w:fill="auto"/>
            <w:vAlign w:val="top"/>
            <w:hideMark/>
          </w:tcPr>
          <w:p w14:paraId="192BF976"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79889750" w14:textId="77777777" w:rsidTr="00FF70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78F13DCD"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auto"/>
            <w:vAlign w:val="top"/>
            <w:hideMark/>
          </w:tcPr>
          <w:p w14:paraId="59DCDFF3"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35-45 Bachelor and above</w:t>
            </w:r>
          </w:p>
        </w:tc>
        <w:tc>
          <w:tcPr>
            <w:tcW w:w="927" w:type="pct"/>
            <w:tcBorders>
              <w:top w:val="nil"/>
              <w:bottom w:val="nil"/>
            </w:tcBorders>
            <w:shd w:val="clear" w:color="auto" w:fill="auto"/>
            <w:vAlign w:val="top"/>
          </w:tcPr>
          <w:p w14:paraId="09885E7F" w14:textId="77777777" w:rsidR="00CA666A" w:rsidRPr="00DC0581" w:rsidRDefault="00CA666A" w:rsidP="00FF70F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DC0581">
              <w:rPr>
                <w:rFonts w:cstheme="minorHAnsi"/>
                <w:color w:val="000000"/>
              </w:rPr>
              <w:t>12.7</w:t>
            </w:r>
          </w:p>
        </w:tc>
        <w:tc>
          <w:tcPr>
            <w:tcW w:w="1639" w:type="pct"/>
            <w:vMerge/>
            <w:tcBorders>
              <w:top w:val="single" w:sz="8" w:space="0" w:color="4472C4" w:themeColor="accent1"/>
              <w:bottom w:val="single" w:sz="8" w:space="0" w:color="4472C4" w:themeColor="accent1"/>
            </w:tcBorders>
            <w:shd w:val="clear" w:color="auto" w:fill="auto"/>
            <w:vAlign w:val="top"/>
            <w:hideMark/>
          </w:tcPr>
          <w:p w14:paraId="4F9DF338"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082B04F4" w14:textId="77777777" w:rsidTr="00FF70F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0821CE74"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single" w:sz="4" w:space="0" w:color="4472C4" w:themeColor="accent1"/>
            </w:tcBorders>
            <w:shd w:val="clear" w:color="auto" w:fill="DEF2FA"/>
            <w:vAlign w:val="top"/>
            <w:hideMark/>
          </w:tcPr>
          <w:p w14:paraId="13F9EB52"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35-45 Below Bachelor</w:t>
            </w:r>
          </w:p>
        </w:tc>
        <w:tc>
          <w:tcPr>
            <w:tcW w:w="927" w:type="pct"/>
            <w:tcBorders>
              <w:top w:val="nil"/>
              <w:bottom w:val="single" w:sz="4" w:space="0" w:color="4472C4" w:themeColor="accent1"/>
            </w:tcBorders>
            <w:shd w:val="clear" w:color="auto" w:fill="DEF2FA"/>
            <w:vAlign w:val="top"/>
          </w:tcPr>
          <w:p w14:paraId="75C55E96" w14:textId="77777777" w:rsidR="00CA666A" w:rsidRPr="00DC0581" w:rsidRDefault="00CA666A" w:rsidP="00FF70F0">
            <w:pPr>
              <w:keepNex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DC0581">
              <w:rPr>
                <w:rFonts w:cstheme="minorHAnsi"/>
                <w:color w:val="000000"/>
              </w:rPr>
              <w:t>22.5</w:t>
            </w:r>
          </w:p>
        </w:tc>
        <w:tc>
          <w:tcPr>
            <w:tcW w:w="1639" w:type="pct"/>
            <w:vMerge/>
            <w:tcBorders>
              <w:top w:val="single" w:sz="8" w:space="0" w:color="4472C4" w:themeColor="accent1"/>
              <w:bottom w:val="single" w:sz="8" w:space="0" w:color="4472C4" w:themeColor="accent1"/>
            </w:tcBorders>
            <w:shd w:val="clear" w:color="auto" w:fill="auto"/>
            <w:vAlign w:val="top"/>
            <w:hideMark/>
          </w:tcPr>
          <w:p w14:paraId="2FCA8A5E"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3E2F3845" w14:textId="77777777" w:rsidTr="00FF70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val="restart"/>
            <w:tcBorders>
              <w:top w:val="single" w:sz="8" w:space="0" w:color="4472C4" w:themeColor="accent1"/>
              <w:bottom w:val="single" w:sz="8" w:space="0" w:color="4472C4" w:themeColor="accent1"/>
            </w:tcBorders>
            <w:shd w:val="clear" w:color="auto" w:fill="auto"/>
            <w:vAlign w:val="top"/>
            <w:hideMark/>
          </w:tcPr>
          <w:p w14:paraId="7569BF15" w14:textId="77777777" w:rsidR="00CA666A" w:rsidRPr="00DC0581" w:rsidRDefault="00CA666A" w:rsidP="00FF70F0">
            <w:pPr>
              <w:keepNext/>
              <w:rPr>
                <w:rFonts w:asciiTheme="minorHAnsi" w:eastAsia="Times New Roman" w:hAnsiTheme="minorHAnsi" w:cstheme="minorHAnsi"/>
                <w:b/>
                <w:bCs/>
                <w:color w:val="000000"/>
                <w:sz w:val="22"/>
                <w:lang w:eastAsia="en-AU"/>
              </w:rPr>
            </w:pPr>
            <w:r w:rsidRPr="00DC0581">
              <w:rPr>
                <w:rFonts w:eastAsia="Times New Roman" w:cstheme="minorHAnsi"/>
                <w:b/>
                <w:bCs/>
                <w:color w:val="000000"/>
                <w:lang w:eastAsia="en-AU"/>
              </w:rPr>
              <w:t>Location</w:t>
            </w:r>
          </w:p>
        </w:tc>
        <w:tc>
          <w:tcPr>
            <w:tcW w:w="1401" w:type="pct"/>
            <w:tcBorders>
              <w:top w:val="single" w:sz="4" w:space="0" w:color="4472C4" w:themeColor="accent1"/>
              <w:bottom w:val="nil"/>
            </w:tcBorders>
            <w:shd w:val="clear" w:color="auto" w:fill="auto"/>
            <w:vAlign w:val="top"/>
            <w:hideMark/>
          </w:tcPr>
          <w:p w14:paraId="74D47C8A"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Greater Sydney</w:t>
            </w:r>
          </w:p>
        </w:tc>
        <w:tc>
          <w:tcPr>
            <w:tcW w:w="927" w:type="pct"/>
            <w:tcBorders>
              <w:top w:val="single" w:sz="4" w:space="0" w:color="4472C4" w:themeColor="accent1"/>
              <w:bottom w:val="nil"/>
            </w:tcBorders>
            <w:shd w:val="clear" w:color="auto" w:fill="auto"/>
            <w:vAlign w:val="top"/>
          </w:tcPr>
          <w:p w14:paraId="16BABA57" w14:textId="77777777" w:rsidR="00CA666A" w:rsidRPr="00DC0581" w:rsidRDefault="00CA666A" w:rsidP="00FF70F0">
            <w:pPr>
              <w:keepNext/>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22.5</w:t>
            </w:r>
          </w:p>
        </w:tc>
        <w:tc>
          <w:tcPr>
            <w:tcW w:w="1639" w:type="pct"/>
            <w:vMerge w:val="restart"/>
            <w:tcBorders>
              <w:top w:val="single" w:sz="8" w:space="0" w:color="4472C4" w:themeColor="accent1"/>
              <w:bottom w:val="single" w:sz="8" w:space="0" w:color="4472C4" w:themeColor="accent1"/>
            </w:tcBorders>
            <w:shd w:val="clear" w:color="auto" w:fill="auto"/>
            <w:vAlign w:val="top"/>
            <w:hideMark/>
          </w:tcPr>
          <w:p w14:paraId="148B46FE"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ABS Table Builder Census 2016 and ABS Australian Demographic Statistics Dec 2017</w:t>
            </w:r>
          </w:p>
        </w:tc>
      </w:tr>
      <w:tr w:rsidR="00CA666A" w:rsidRPr="00645E5E" w14:paraId="42D6C09D" w14:textId="77777777" w:rsidTr="00FF70F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348E792C"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DEF2FA"/>
            <w:vAlign w:val="top"/>
            <w:hideMark/>
          </w:tcPr>
          <w:p w14:paraId="58CB591C"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Rest of NSW</w:t>
            </w:r>
          </w:p>
        </w:tc>
        <w:tc>
          <w:tcPr>
            <w:tcW w:w="927" w:type="pct"/>
            <w:tcBorders>
              <w:top w:val="nil"/>
              <w:bottom w:val="nil"/>
            </w:tcBorders>
            <w:shd w:val="clear" w:color="auto" w:fill="DEF2FA"/>
            <w:vAlign w:val="top"/>
          </w:tcPr>
          <w:p w14:paraId="0C2675FF" w14:textId="77777777" w:rsidR="00CA666A" w:rsidRPr="00DC0581" w:rsidRDefault="00CA666A" w:rsidP="00FF70F0">
            <w:pPr>
              <w:keepNext/>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9.4</w:t>
            </w:r>
          </w:p>
        </w:tc>
        <w:tc>
          <w:tcPr>
            <w:tcW w:w="1639" w:type="pct"/>
            <w:vMerge/>
            <w:tcBorders>
              <w:top w:val="single" w:sz="8" w:space="0" w:color="4472C4" w:themeColor="accent1"/>
              <w:bottom w:val="single" w:sz="8" w:space="0" w:color="4472C4" w:themeColor="accent1"/>
            </w:tcBorders>
            <w:shd w:val="clear" w:color="auto" w:fill="auto"/>
            <w:vAlign w:val="top"/>
            <w:hideMark/>
          </w:tcPr>
          <w:p w14:paraId="3A895D8D"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46AB321F" w14:textId="77777777" w:rsidTr="00FF70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43A8316F"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auto"/>
            <w:vAlign w:val="top"/>
            <w:hideMark/>
          </w:tcPr>
          <w:p w14:paraId="267D4678"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Greater Melbourne</w:t>
            </w:r>
          </w:p>
        </w:tc>
        <w:tc>
          <w:tcPr>
            <w:tcW w:w="927" w:type="pct"/>
            <w:tcBorders>
              <w:top w:val="nil"/>
              <w:bottom w:val="nil"/>
            </w:tcBorders>
            <w:shd w:val="clear" w:color="auto" w:fill="auto"/>
            <w:vAlign w:val="top"/>
          </w:tcPr>
          <w:p w14:paraId="2F052696" w14:textId="77777777" w:rsidR="00CA666A" w:rsidRPr="00DC0581" w:rsidRDefault="00CA666A" w:rsidP="00FF70F0">
            <w:pPr>
              <w:keepNext/>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21.7</w:t>
            </w:r>
          </w:p>
        </w:tc>
        <w:tc>
          <w:tcPr>
            <w:tcW w:w="1639" w:type="pct"/>
            <w:vMerge/>
            <w:tcBorders>
              <w:top w:val="single" w:sz="8" w:space="0" w:color="4472C4" w:themeColor="accent1"/>
              <w:bottom w:val="single" w:sz="8" w:space="0" w:color="4472C4" w:themeColor="accent1"/>
            </w:tcBorders>
            <w:shd w:val="clear" w:color="auto" w:fill="auto"/>
            <w:vAlign w:val="top"/>
            <w:hideMark/>
          </w:tcPr>
          <w:p w14:paraId="73A61CC9"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711AE71D" w14:textId="77777777" w:rsidTr="00FF70F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30AEA6B4"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DEF2FA"/>
            <w:vAlign w:val="top"/>
            <w:hideMark/>
          </w:tcPr>
          <w:p w14:paraId="373E2042"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Rest of VIC</w:t>
            </w:r>
          </w:p>
        </w:tc>
        <w:tc>
          <w:tcPr>
            <w:tcW w:w="927" w:type="pct"/>
            <w:tcBorders>
              <w:top w:val="nil"/>
              <w:bottom w:val="nil"/>
            </w:tcBorders>
            <w:shd w:val="clear" w:color="auto" w:fill="DEF2FA"/>
            <w:vAlign w:val="top"/>
          </w:tcPr>
          <w:p w14:paraId="656847C9" w14:textId="77777777" w:rsidR="00CA666A" w:rsidRPr="00DC0581" w:rsidRDefault="00CA666A" w:rsidP="00FF70F0">
            <w:pPr>
              <w:keepNext/>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5.2</w:t>
            </w:r>
          </w:p>
        </w:tc>
        <w:tc>
          <w:tcPr>
            <w:tcW w:w="1639" w:type="pct"/>
            <w:vMerge/>
            <w:tcBorders>
              <w:top w:val="single" w:sz="8" w:space="0" w:color="4472C4" w:themeColor="accent1"/>
              <w:bottom w:val="single" w:sz="8" w:space="0" w:color="4472C4" w:themeColor="accent1"/>
            </w:tcBorders>
            <w:shd w:val="clear" w:color="auto" w:fill="auto"/>
            <w:vAlign w:val="top"/>
            <w:hideMark/>
          </w:tcPr>
          <w:p w14:paraId="6C96D29E"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17DFEEBC" w14:textId="77777777" w:rsidTr="00FF70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30213D25"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auto"/>
            <w:vAlign w:val="top"/>
            <w:hideMark/>
          </w:tcPr>
          <w:p w14:paraId="063386CB"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Greater Brisbane</w:t>
            </w:r>
          </w:p>
        </w:tc>
        <w:tc>
          <w:tcPr>
            <w:tcW w:w="927" w:type="pct"/>
            <w:tcBorders>
              <w:top w:val="nil"/>
              <w:bottom w:val="nil"/>
            </w:tcBorders>
            <w:shd w:val="clear" w:color="auto" w:fill="auto"/>
            <w:vAlign w:val="top"/>
          </w:tcPr>
          <w:p w14:paraId="01C6BEC4" w14:textId="77777777" w:rsidR="00CA666A" w:rsidRPr="00DC0581" w:rsidRDefault="00CA666A" w:rsidP="00FF70F0">
            <w:pPr>
              <w:keepNext/>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10.3</w:t>
            </w:r>
          </w:p>
        </w:tc>
        <w:tc>
          <w:tcPr>
            <w:tcW w:w="1639" w:type="pct"/>
            <w:vMerge/>
            <w:tcBorders>
              <w:top w:val="single" w:sz="8" w:space="0" w:color="4472C4" w:themeColor="accent1"/>
              <w:bottom w:val="single" w:sz="8" w:space="0" w:color="4472C4" w:themeColor="accent1"/>
            </w:tcBorders>
            <w:shd w:val="clear" w:color="auto" w:fill="auto"/>
            <w:vAlign w:val="top"/>
            <w:hideMark/>
          </w:tcPr>
          <w:p w14:paraId="40910E57"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72248234" w14:textId="77777777" w:rsidTr="00FF70F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04D66596"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DEF2FA"/>
            <w:vAlign w:val="top"/>
            <w:hideMark/>
          </w:tcPr>
          <w:p w14:paraId="3003E351"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Rest of QLD</w:t>
            </w:r>
          </w:p>
        </w:tc>
        <w:tc>
          <w:tcPr>
            <w:tcW w:w="927" w:type="pct"/>
            <w:tcBorders>
              <w:top w:val="nil"/>
              <w:bottom w:val="nil"/>
            </w:tcBorders>
            <w:shd w:val="clear" w:color="auto" w:fill="DEF2FA"/>
            <w:vAlign w:val="top"/>
          </w:tcPr>
          <w:p w14:paraId="20345A44" w14:textId="77777777" w:rsidR="00CA666A" w:rsidRPr="00DC0581" w:rsidRDefault="00CA666A" w:rsidP="00FF70F0">
            <w:pPr>
              <w:keepNext/>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9.3</w:t>
            </w:r>
          </w:p>
        </w:tc>
        <w:tc>
          <w:tcPr>
            <w:tcW w:w="1639" w:type="pct"/>
            <w:vMerge/>
            <w:tcBorders>
              <w:top w:val="single" w:sz="8" w:space="0" w:color="4472C4" w:themeColor="accent1"/>
              <w:bottom w:val="single" w:sz="8" w:space="0" w:color="4472C4" w:themeColor="accent1"/>
            </w:tcBorders>
            <w:shd w:val="clear" w:color="auto" w:fill="auto"/>
            <w:vAlign w:val="top"/>
            <w:hideMark/>
          </w:tcPr>
          <w:p w14:paraId="1377B341"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677208C2" w14:textId="77777777" w:rsidTr="00FF70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7DA3EA91"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auto"/>
            <w:vAlign w:val="top"/>
            <w:hideMark/>
          </w:tcPr>
          <w:p w14:paraId="146AA940"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Greater Perth</w:t>
            </w:r>
          </w:p>
        </w:tc>
        <w:tc>
          <w:tcPr>
            <w:tcW w:w="927" w:type="pct"/>
            <w:tcBorders>
              <w:top w:val="nil"/>
              <w:bottom w:val="nil"/>
            </w:tcBorders>
            <w:shd w:val="clear" w:color="auto" w:fill="auto"/>
            <w:vAlign w:val="top"/>
          </w:tcPr>
          <w:p w14:paraId="5AEBB75E" w14:textId="77777777" w:rsidR="00CA666A" w:rsidRPr="00DC0581" w:rsidRDefault="00CA666A" w:rsidP="00FF70F0">
            <w:pPr>
              <w:keepNext/>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8.5</w:t>
            </w:r>
          </w:p>
        </w:tc>
        <w:tc>
          <w:tcPr>
            <w:tcW w:w="1639" w:type="pct"/>
            <w:vMerge/>
            <w:tcBorders>
              <w:top w:val="single" w:sz="8" w:space="0" w:color="4472C4" w:themeColor="accent1"/>
              <w:bottom w:val="single" w:sz="8" w:space="0" w:color="4472C4" w:themeColor="accent1"/>
            </w:tcBorders>
            <w:shd w:val="clear" w:color="auto" w:fill="auto"/>
            <w:vAlign w:val="top"/>
            <w:hideMark/>
          </w:tcPr>
          <w:p w14:paraId="1FE6770E"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19BEE3D3" w14:textId="77777777" w:rsidTr="00FF70F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1CC6EEEB"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DEF2FA"/>
            <w:vAlign w:val="top"/>
            <w:hideMark/>
          </w:tcPr>
          <w:p w14:paraId="16C86B31"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Rest of WA</w:t>
            </w:r>
          </w:p>
        </w:tc>
        <w:tc>
          <w:tcPr>
            <w:tcW w:w="927" w:type="pct"/>
            <w:tcBorders>
              <w:top w:val="nil"/>
              <w:bottom w:val="nil"/>
            </w:tcBorders>
            <w:shd w:val="clear" w:color="auto" w:fill="DEF2FA"/>
            <w:vAlign w:val="top"/>
          </w:tcPr>
          <w:p w14:paraId="21C4E4A9" w14:textId="77777777" w:rsidR="00CA666A" w:rsidRPr="00DC0581" w:rsidRDefault="00CA666A" w:rsidP="00FF70F0">
            <w:pPr>
              <w:keepNext/>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2.0</w:t>
            </w:r>
          </w:p>
        </w:tc>
        <w:tc>
          <w:tcPr>
            <w:tcW w:w="1639" w:type="pct"/>
            <w:vMerge/>
            <w:tcBorders>
              <w:top w:val="single" w:sz="8" w:space="0" w:color="4472C4" w:themeColor="accent1"/>
              <w:bottom w:val="single" w:sz="8" w:space="0" w:color="4472C4" w:themeColor="accent1"/>
            </w:tcBorders>
            <w:shd w:val="clear" w:color="auto" w:fill="auto"/>
            <w:vAlign w:val="top"/>
            <w:hideMark/>
          </w:tcPr>
          <w:p w14:paraId="1984E12B"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684BA4FF" w14:textId="77777777" w:rsidTr="00FF70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4B36C7C7"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auto"/>
            <w:vAlign w:val="top"/>
            <w:hideMark/>
          </w:tcPr>
          <w:p w14:paraId="0F9B0AFE"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Greater Adelaide</w:t>
            </w:r>
          </w:p>
        </w:tc>
        <w:tc>
          <w:tcPr>
            <w:tcW w:w="927" w:type="pct"/>
            <w:tcBorders>
              <w:top w:val="nil"/>
              <w:bottom w:val="nil"/>
            </w:tcBorders>
            <w:shd w:val="clear" w:color="auto" w:fill="auto"/>
            <w:vAlign w:val="top"/>
          </w:tcPr>
          <w:p w14:paraId="4A0162C0" w14:textId="77777777" w:rsidR="00CA666A" w:rsidRPr="00DC0581" w:rsidRDefault="00CA666A" w:rsidP="00FF70F0">
            <w:pPr>
              <w:keepNext/>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5.2</w:t>
            </w:r>
          </w:p>
        </w:tc>
        <w:tc>
          <w:tcPr>
            <w:tcW w:w="1639" w:type="pct"/>
            <w:vMerge/>
            <w:tcBorders>
              <w:top w:val="single" w:sz="8" w:space="0" w:color="4472C4" w:themeColor="accent1"/>
              <w:bottom w:val="single" w:sz="8" w:space="0" w:color="4472C4" w:themeColor="accent1"/>
            </w:tcBorders>
            <w:shd w:val="clear" w:color="auto" w:fill="auto"/>
            <w:vAlign w:val="top"/>
            <w:hideMark/>
          </w:tcPr>
          <w:p w14:paraId="32364D99"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4000C14F" w14:textId="77777777" w:rsidTr="00FF70F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3905B03D"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DEF2FA"/>
            <w:vAlign w:val="top"/>
            <w:hideMark/>
          </w:tcPr>
          <w:p w14:paraId="2A46F9B1"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Rest of SA</w:t>
            </w:r>
          </w:p>
        </w:tc>
        <w:tc>
          <w:tcPr>
            <w:tcW w:w="927" w:type="pct"/>
            <w:tcBorders>
              <w:top w:val="nil"/>
              <w:bottom w:val="nil"/>
            </w:tcBorders>
            <w:shd w:val="clear" w:color="auto" w:fill="DEF2FA"/>
            <w:vAlign w:val="top"/>
          </w:tcPr>
          <w:p w14:paraId="7FE5B37E" w14:textId="77777777" w:rsidR="00CA666A" w:rsidRPr="00DC0581" w:rsidRDefault="00CA666A" w:rsidP="00FF70F0">
            <w:pPr>
              <w:keepNext/>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1.2</w:t>
            </w:r>
          </w:p>
        </w:tc>
        <w:tc>
          <w:tcPr>
            <w:tcW w:w="1639" w:type="pct"/>
            <w:vMerge/>
            <w:tcBorders>
              <w:top w:val="single" w:sz="8" w:space="0" w:color="4472C4" w:themeColor="accent1"/>
              <w:bottom w:val="single" w:sz="8" w:space="0" w:color="4472C4" w:themeColor="accent1"/>
            </w:tcBorders>
            <w:shd w:val="clear" w:color="auto" w:fill="auto"/>
            <w:vAlign w:val="top"/>
            <w:hideMark/>
          </w:tcPr>
          <w:p w14:paraId="2A23F1D2"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2ABF27AF" w14:textId="77777777" w:rsidTr="00FF70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7804BA21"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auto"/>
            <w:vAlign w:val="top"/>
            <w:hideMark/>
          </w:tcPr>
          <w:p w14:paraId="68657A4C"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ACT</w:t>
            </w:r>
          </w:p>
        </w:tc>
        <w:tc>
          <w:tcPr>
            <w:tcW w:w="927" w:type="pct"/>
            <w:tcBorders>
              <w:top w:val="nil"/>
              <w:bottom w:val="nil"/>
            </w:tcBorders>
            <w:shd w:val="clear" w:color="auto" w:fill="auto"/>
            <w:vAlign w:val="top"/>
          </w:tcPr>
          <w:p w14:paraId="1811AE9F" w14:textId="77777777" w:rsidR="00CA666A" w:rsidRPr="00DC0581" w:rsidRDefault="00CA666A" w:rsidP="00FF70F0">
            <w:pPr>
              <w:keepNext/>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1.9</w:t>
            </w:r>
          </w:p>
        </w:tc>
        <w:tc>
          <w:tcPr>
            <w:tcW w:w="1639" w:type="pct"/>
            <w:vMerge/>
            <w:tcBorders>
              <w:top w:val="single" w:sz="8" w:space="0" w:color="4472C4" w:themeColor="accent1"/>
              <w:bottom w:val="single" w:sz="8" w:space="0" w:color="4472C4" w:themeColor="accent1"/>
            </w:tcBorders>
            <w:shd w:val="clear" w:color="auto" w:fill="auto"/>
            <w:vAlign w:val="top"/>
            <w:hideMark/>
          </w:tcPr>
          <w:p w14:paraId="7964CAA5"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66B16281" w14:textId="77777777" w:rsidTr="00FF70F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02623547"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DEF2FA"/>
            <w:vAlign w:val="top"/>
            <w:hideMark/>
          </w:tcPr>
          <w:p w14:paraId="0CA289F6"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Greater Hobart</w:t>
            </w:r>
          </w:p>
        </w:tc>
        <w:tc>
          <w:tcPr>
            <w:tcW w:w="927" w:type="pct"/>
            <w:tcBorders>
              <w:top w:val="nil"/>
              <w:bottom w:val="nil"/>
            </w:tcBorders>
            <w:shd w:val="clear" w:color="auto" w:fill="DEF2FA"/>
            <w:vAlign w:val="top"/>
          </w:tcPr>
          <w:p w14:paraId="52935971" w14:textId="77777777" w:rsidR="00CA666A" w:rsidRPr="00DC0581" w:rsidRDefault="00CA666A" w:rsidP="00FF70F0">
            <w:pPr>
              <w:keepNext/>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0.9</w:t>
            </w:r>
          </w:p>
        </w:tc>
        <w:tc>
          <w:tcPr>
            <w:tcW w:w="1639" w:type="pct"/>
            <w:vMerge/>
            <w:tcBorders>
              <w:top w:val="single" w:sz="8" w:space="0" w:color="4472C4" w:themeColor="accent1"/>
              <w:bottom w:val="single" w:sz="8" w:space="0" w:color="4472C4" w:themeColor="accent1"/>
            </w:tcBorders>
            <w:shd w:val="clear" w:color="auto" w:fill="auto"/>
            <w:vAlign w:val="top"/>
            <w:hideMark/>
          </w:tcPr>
          <w:p w14:paraId="79DB21EC"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7DD0AA9C" w14:textId="77777777" w:rsidTr="00FF70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3E1CCDCC"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nil"/>
            </w:tcBorders>
            <w:shd w:val="clear" w:color="auto" w:fill="auto"/>
            <w:vAlign w:val="top"/>
            <w:hideMark/>
          </w:tcPr>
          <w:p w14:paraId="720FEA44"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Rest of TAS</w:t>
            </w:r>
          </w:p>
        </w:tc>
        <w:tc>
          <w:tcPr>
            <w:tcW w:w="927" w:type="pct"/>
            <w:tcBorders>
              <w:top w:val="nil"/>
              <w:bottom w:val="nil"/>
            </w:tcBorders>
            <w:shd w:val="clear" w:color="auto" w:fill="auto"/>
            <w:vAlign w:val="top"/>
          </w:tcPr>
          <w:p w14:paraId="679B26C4" w14:textId="77777777" w:rsidR="00CA666A" w:rsidRPr="00DC0581" w:rsidRDefault="00CA666A" w:rsidP="00FF70F0">
            <w:pPr>
              <w:keepNext/>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0.9</w:t>
            </w:r>
          </w:p>
        </w:tc>
        <w:tc>
          <w:tcPr>
            <w:tcW w:w="1639" w:type="pct"/>
            <w:vMerge/>
            <w:tcBorders>
              <w:top w:val="single" w:sz="8" w:space="0" w:color="4472C4" w:themeColor="accent1"/>
              <w:bottom w:val="single" w:sz="8" w:space="0" w:color="4472C4" w:themeColor="accent1"/>
            </w:tcBorders>
            <w:shd w:val="clear" w:color="auto" w:fill="auto"/>
            <w:vAlign w:val="top"/>
            <w:hideMark/>
          </w:tcPr>
          <w:p w14:paraId="462B14FB"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58D69553" w14:textId="77777777" w:rsidTr="00FF70F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492E232C"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single" w:sz="4" w:space="0" w:color="4472C4" w:themeColor="accent1"/>
            </w:tcBorders>
            <w:shd w:val="clear" w:color="auto" w:fill="DEF2FA"/>
            <w:vAlign w:val="top"/>
          </w:tcPr>
          <w:p w14:paraId="0A083C9C"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NT</w:t>
            </w:r>
          </w:p>
        </w:tc>
        <w:tc>
          <w:tcPr>
            <w:tcW w:w="927" w:type="pct"/>
            <w:tcBorders>
              <w:top w:val="nil"/>
              <w:bottom w:val="single" w:sz="4" w:space="0" w:color="4472C4" w:themeColor="accent1"/>
            </w:tcBorders>
            <w:shd w:val="clear" w:color="auto" w:fill="DEF2FA"/>
            <w:vAlign w:val="top"/>
          </w:tcPr>
          <w:p w14:paraId="7909D62E" w14:textId="77777777" w:rsidR="00CA666A" w:rsidRPr="00DC0581" w:rsidRDefault="00CA666A" w:rsidP="00FF70F0">
            <w:pPr>
              <w:keepNext/>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1.2</w:t>
            </w:r>
          </w:p>
        </w:tc>
        <w:tc>
          <w:tcPr>
            <w:tcW w:w="1639" w:type="pct"/>
            <w:vMerge/>
            <w:tcBorders>
              <w:top w:val="single" w:sz="8" w:space="0" w:color="4472C4" w:themeColor="accent1"/>
              <w:bottom w:val="single" w:sz="8" w:space="0" w:color="4472C4" w:themeColor="accent1"/>
            </w:tcBorders>
            <w:shd w:val="clear" w:color="auto" w:fill="auto"/>
            <w:vAlign w:val="top"/>
            <w:hideMark/>
          </w:tcPr>
          <w:p w14:paraId="096A94AE"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462CB6A8" w14:textId="77777777" w:rsidTr="00FF70F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33" w:type="pct"/>
            <w:vMerge w:val="restart"/>
            <w:tcBorders>
              <w:top w:val="single" w:sz="8" w:space="0" w:color="4472C4" w:themeColor="accent1"/>
              <w:bottom w:val="single" w:sz="8" w:space="0" w:color="4472C4" w:themeColor="accent1"/>
            </w:tcBorders>
            <w:shd w:val="clear" w:color="auto" w:fill="auto"/>
            <w:vAlign w:val="top"/>
            <w:hideMark/>
          </w:tcPr>
          <w:p w14:paraId="3B2B813F" w14:textId="77777777" w:rsidR="00CA666A" w:rsidRPr="00DC0581" w:rsidRDefault="00CA666A" w:rsidP="00FF70F0">
            <w:pPr>
              <w:keepNext/>
              <w:rPr>
                <w:rFonts w:asciiTheme="minorHAnsi" w:eastAsia="Times New Roman" w:hAnsiTheme="minorHAnsi" w:cstheme="minorHAnsi"/>
                <w:b/>
                <w:bCs/>
                <w:color w:val="000000"/>
                <w:sz w:val="22"/>
                <w:lang w:eastAsia="en-AU"/>
              </w:rPr>
            </w:pPr>
            <w:r w:rsidRPr="00DC0581">
              <w:rPr>
                <w:rFonts w:eastAsia="Times New Roman" w:cstheme="minorHAnsi"/>
                <w:b/>
                <w:bCs/>
                <w:color w:val="000000"/>
                <w:lang w:eastAsia="en-AU"/>
              </w:rPr>
              <w:t>Sex</w:t>
            </w:r>
          </w:p>
        </w:tc>
        <w:tc>
          <w:tcPr>
            <w:tcW w:w="1401" w:type="pct"/>
            <w:tcBorders>
              <w:top w:val="single" w:sz="4" w:space="0" w:color="4472C4" w:themeColor="accent1"/>
              <w:bottom w:val="nil"/>
            </w:tcBorders>
            <w:shd w:val="clear" w:color="auto" w:fill="auto"/>
            <w:vAlign w:val="top"/>
            <w:hideMark/>
          </w:tcPr>
          <w:p w14:paraId="0F0A1D8A"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Female</w:t>
            </w:r>
          </w:p>
        </w:tc>
        <w:tc>
          <w:tcPr>
            <w:tcW w:w="927" w:type="pct"/>
            <w:tcBorders>
              <w:top w:val="single" w:sz="4" w:space="0" w:color="4472C4" w:themeColor="accent1"/>
              <w:bottom w:val="nil"/>
            </w:tcBorders>
            <w:shd w:val="clear" w:color="auto" w:fill="auto"/>
            <w:vAlign w:val="top"/>
          </w:tcPr>
          <w:p w14:paraId="121BEDD5" w14:textId="77777777" w:rsidR="00CA666A" w:rsidRPr="00DC0581" w:rsidRDefault="00CA666A" w:rsidP="00FF70F0">
            <w:pPr>
              <w:keepNext/>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49.8</w:t>
            </w:r>
          </w:p>
        </w:tc>
        <w:tc>
          <w:tcPr>
            <w:tcW w:w="1639" w:type="pct"/>
            <w:vMerge w:val="restart"/>
            <w:tcBorders>
              <w:top w:val="single" w:sz="8" w:space="0" w:color="4472C4" w:themeColor="accent1"/>
              <w:bottom w:val="single" w:sz="8" w:space="0" w:color="4472C4" w:themeColor="accent1"/>
            </w:tcBorders>
            <w:shd w:val="clear" w:color="auto" w:fill="auto"/>
            <w:vAlign w:val="top"/>
            <w:hideMark/>
          </w:tcPr>
          <w:p w14:paraId="547FCEC8"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ABS Table Builder Census 2016 and ABS Australian Demographic Statistics Dec 2017</w:t>
            </w:r>
          </w:p>
        </w:tc>
      </w:tr>
      <w:tr w:rsidR="00CA666A" w:rsidRPr="00645E5E" w14:paraId="5942B2E6" w14:textId="77777777" w:rsidTr="00FF70F0">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3C68295E" w14:textId="77777777" w:rsidR="00CA666A" w:rsidRPr="00DC0581" w:rsidRDefault="00CA666A" w:rsidP="00FF70F0">
            <w:pPr>
              <w:keepNext/>
              <w:rPr>
                <w:rFonts w:asciiTheme="minorHAnsi" w:eastAsia="Times New Roman" w:hAnsiTheme="minorHAnsi" w:cstheme="minorHAnsi"/>
                <w:b/>
                <w:bCs/>
                <w:color w:val="000000"/>
                <w:sz w:val="22"/>
                <w:lang w:eastAsia="en-AU"/>
              </w:rPr>
            </w:pPr>
          </w:p>
        </w:tc>
        <w:tc>
          <w:tcPr>
            <w:tcW w:w="1401" w:type="pct"/>
            <w:tcBorders>
              <w:top w:val="nil"/>
              <w:bottom w:val="single" w:sz="4" w:space="0" w:color="4472C4" w:themeColor="accent1"/>
            </w:tcBorders>
            <w:shd w:val="clear" w:color="auto" w:fill="DEF2FA"/>
            <w:vAlign w:val="top"/>
            <w:hideMark/>
          </w:tcPr>
          <w:p w14:paraId="0307C8EE"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Male</w:t>
            </w:r>
          </w:p>
        </w:tc>
        <w:tc>
          <w:tcPr>
            <w:tcW w:w="927" w:type="pct"/>
            <w:tcBorders>
              <w:top w:val="nil"/>
              <w:bottom w:val="single" w:sz="4" w:space="0" w:color="4472C4" w:themeColor="accent1"/>
            </w:tcBorders>
            <w:shd w:val="clear" w:color="auto" w:fill="DEF2FA"/>
            <w:vAlign w:val="top"/>
          </w:tcPr>
          <w:p w14:paraId="5CB3F467" w14:textId="77777777" w:rsidR="00CA666A" w:rsidRPr="00DC0581" w:rsidRDefault="00CA666A" w:rsidP="00FF70F0">
            <w:pPr>
              <w:keepNext/>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50.2</w:t>
            </w:r>
          </w:p>
        </w:tc>
        <w:tc>
          <w:tcPr>
            <w:tcW w:w="1639" w:type="pct"/>
            <w:vMerge/>
            <w:tcBorders>
              <w:top w:val="single" w:sz="8" w:space="0" w:color="4472C4" w:themeColor="accent1"/>
              <w:bottom w:val="single" w:sz="8" w:space="0" w:color="4472C4" w:themeColor="accent1"/>
            </w:tcBorders>
            <w:shd w:val="clear" w:color="auto" w:fill="auto"/>
            <w:vAlign w:val="top"/>
            <w:hideMark/>
          </w:tcPr>
          <w:p w14:paraId="7EB3F81F" w14:textId="77777777" w:rsidR="00CA666A" w:rsidRPr="00DC0581" w:rsidRDefault="00CA666A" w:rsidP="00FF70F0">
            <w:pPr>
              <w:keepNext/>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0AA668E3" w14:textId="77777777" w:rsidTr="00FF70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33" w:type="pct"/>
            <w:vMerge w:val="restart"/>
            <w:tcBorders>
              <w:top w:val="single" w:sz="8" w:space="0" w:color="4472C4" w:themeColor="accent1"/>
              <w:bottom w:val="single" w:sz="8" w:space="0" w:color="4472C4" w:themeColor="accent1"/>
            </w:tcBorders>
            <w:shd w:val="clear" w:color="auto" w:fill="auto"/>
            <w:vAlign w:val="top"/>
            <w:hideMark/>
          </w:tcPr>
          <w:p w14:paraId="6ED60249" w14:textId="77777777" w:rsidR="00CA666A" w:rsidRPr="00DC0581" w:rsidRDefault="00CA666A" w:rsidP="00FF70F0">
            <w:pPr>
              <w:keepNext/>
              <w:rPr>
                <w:rFonts w:asciiTheme="minorHAnsi" w:eastAsia="Times New Roman" w:hAnsiTheme="minorHAnsi" w:cstheme="minorHAnsi"/>
                <w:b/>
                <w:bCs/>
                <w:color w:val="000000"/>
                <w:sz w:val="22"/>
                <w:lang w:eastAsia="en-AU"/>
              </w:rPr>
            </w:pPr>
            <w:r w:rsidRPr="00DC0581">
              <w:rPr>
                <w:rFonts w:eastAsia="Times New Roman" w:cstheme="minorHAnsi"/>
                <w:b/>
                <w:bCs/>
                <w:color w:val="000000"/>
                <w:lang w:eastAsia="en-AU"/>
              </w:rPr>
              <w:t>Telephone status</w:t>
            </w:r>
          </w:p>
        </w:tc>
        <w:tc>
          <w:tcPr>
            <w:tcW w:w="1401" w:type="pct"/>
            <w:tcBorders>
              <w:top w:val="single" w:sz="4" w:space="0" w:color="4472C4" w:themeColor="accent1"/>
              <w:bottom w:val="nil"/>
            </w:tcBorders>
            <w:shd w:val="clear" w:color="auto" w:fill="auto"/>
            <w:vAlign w:val="top"/>
            <w:hideMark/>
          </w:tcPr>
          <w:p w14:paraId="23229778"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Landline only / Dual user</w:t>
            </w:r>
          </w:p>
        </w:tc>
        <w:tc>
          <w:tcPr>
            <w:tcW w:w="927" w:type="pct"/>
            <w:tcBorders>
              <w:top w:val="single" w:sz="4" w:space="0" w:color="4472C4" w:themeColor="accent1"/>
              <w:bottom w:val="nil"/>
            </w:tcBorders>
            <w:shd w:val="clear" w:color="auto" w:fill="auto"/>
            <w:vAlign w:val="top"/>
          </w:tcPr>
          <w:p w14:paraId="01198E45" w14:textId="77777777" w:rsidR="00CA666A" w:rsidRPr="00DC0581" w:rsidRDefault="00CA666A" w:rsidP="00FF70F0">
            <w:pPr>
              <w:keepNext/>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64.0</w:t>
            </w:r>
          </w:p>
        </w:tc>
        <w:tc>
          <w:tcPr>
            <w:tcW w:w="1639" w:type="pct"/>
            <w:vMerge w:val="restart"/>
            <w:tcBorders>
              <w:top w:val="single" w:sz="8" w:space="0" w:color="4472C4" w:themeColor="accent1"/>
              <w:bottom w:val="single" w:sz="8" w:space="0" w:color="4472C4" w:themeColor="accent1"/>
            </w:tcBorders>
            <w:shd w:val="clear" w:color="auto" w:fill="auto"/>
            <w:vAlign w:val="top"/>
            <w:hideMark/>
          </w:tcPr>
          <w:p w14:paraId="4C739EF8" w14:textId="77777777" w:rsidR="00CA666A" w:rsidRPr="00DC0581" w:rsidRDefault="00CA666A" w:rsidP="00FF70F0">
            <w:pPr>
              <w:keepNext/>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ACMA Communications Report Dec 2016</w:t>
            </w:r>
          </w:p>
        </w:tc>
      </w:tr>
      <w:tr w:rsidR="00CA666A" w:rsidRPr="00645E5E" w14:paraId="1F329A09" w14:textId="77777777" w:rsidTr="00FF70F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bottom w:val="single" w:sz="8" w:space="0" w:color="4472C4" w:themeColor="accent1"/>
            </w:tcBorders>
            <w:shd w:val="clear" w:color="auto" w:fill="auto"/>
            <w:vAlign w:val="top"/>
            <w:hideMark/>
          </w:tcPr>
          <w:p w14:paraId="2D1294C6" w14:textId="77777777" w:rsidR="00CA666A" w:rsidRPr="00DC0581" w:rsidRDefault="00CA666A" w:rsidP="00FF70F0">
            <w:pPr>
              <w:rPr>
                <w:rFonts w:asciiTheme="minorHAnsi" w:eastAsia="Times New Roman" w:hAnsiTheme="minorHAnsi" w:cstheme="minorHAnsi"/>
                <w:b/>
                <w:bCs/>
                <w:color w:val="000000"/>
                <w:sz w:val="22"/>
                <w:lang w:eastAsia="en-AU"/>
              </w:rPr>
            </w:pPr>
          </w:p>
        </w:tc>
        <w:tc>
          <w:tcPr>
            <w:tcW w:w="1401" w:type="pct"/>
            <w:tcBorders>
              <w:top w:val="nil"/>
              <w:bottom w:val="single" w:sz="4" w:space="0" w:color="4472C4" w:themeColor="accent1"/>
            </w:tcBorders>
            <w:shd w:val="clear" w:color="auto" w:fill="DEF2FA"/>
            <w:vAlign w:val="top"/>
            <w:hideMark/>
          </w:tcPr>
          <w:p w14:paraId="3CE22E45" w14:textId="77777777" w:rsidR="00CA666A" w:rsidRPr="00DC0581" w:rsidRDefault="00CA666A" w:rsidP="00FF70F0">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Mobile only</w:t>
            </w:r>
          </w:p>
        </w:tc>
        <w:tc>
          <w:tcPr>
            <w:tcW w:w="927" w:type="pct"/>
            <w:tcBorders>
              <w:top w:val="nil"/>
              <w:bottom w:val="single" w:sz="4" w:space="0" w:color="4472C4" w:themeColor="accent1"/>
            </w:tcBorders>
            <w:shd w:val="clear" w:color="auto" w:fill="DEF2FA"/>
            <w:vAlign w:val="top"/>
            <w:hideMark/>
          </w:tcPr>
          <w:p w14:paraId="4C15EBB3" w14:textId="77777777" w:rsidR="00CA666A" w:rsidRPr="00DC0581" w:rsidRDefault="00CA666A" w:rsidP="00FF70F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36.0</w:t>
            </w:r>
          </w:p>
        </w:tc>
        <w:tc>
          <w:tcPr>
            <w:tcW w:w="1639" w:type="pct"/>
            <w:vMerge/>
            <w:tcBorders>
              <w:top w:val="single" w:sz="8" w:space="0" w:color="4472C4" w:themeColor="accent1"/>
              <w:bottom w:val="single" w:sz="8" w:space="0" w:color="4472C4" w:themeColor="accent1"/>
            </w:tcBorders>
            <w:shd w:val="clear" w:color="auto" w:fill="auto"/>
            <w:vAlign w:val="top"/>
            <w:hideMark/>
          </w:tcPr>
          <w:p w14:paraId="00001BAE" w14:textId="77777777" w:rsidR="00CA666A" w:rsidRPr="00DC0581" w:rsidRDefault="00CA666A" w:rsidP="00FF70F0">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p>
        </w:tc>
      </w:tr>
      <w:tr w:rsidR="00CA666A" w:rsidRPr="00645E5E" w14:paraId="070900B8" w14:textId="77777777" w:rsidTr="00FF70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33" w:type="pct"/>
            <w:vMerge w:val="restart"/>
            <w:tcBorders>
              <w:top w:val="single" w:sz="8" w:space="0" w:color="4472C4" w:themeColor="accent1"/>
              <w:bottom w:val="single" w:sz="8" w:space="0" w:color="4472C4" w:themeColor="accent1"/>
            </w:tcBorders>
            <w:shd w:val="clear" w:color="auto" w:fill="auto"/>
            <w:vAlign w:val="top"/>
            <w:hideMark/>
          </w:tcPr>
          <w:p w14:paraId="734C0B1B" w14:textId="77777777" w:rsidR="00CA666A" w:rsidRPr="00DC0581" w:rsidRDefault="00CA666A" w:rsidP="00FF70F0">
            <w:pPr>
              <w:rPr>
                <w:rFonts w:asciiTheme="minorHAnsi" w:eastAsia="Times New Roman" w:hAnsiTheme="minorHAnsi" w:cstheme="minorHAnsi"/>
                <w:b/>
                <w:bCs/>
                <w:color w:val="000000"/>
                <w:sz w:val="22"/>
                <w:lang w:eastAsia="en-AU"/>
              </w:rPr>
            </w:pPr>
            <w:r w:rsidRPr="00DC0581">
              <w:rPr>
                <w:rFonts w:eastAsia="Times New Roman" w:cstheme="minorHAnsi"/>
                <w:b/>
                <w:bCs/>
                <w:color w:val="000000"/>
                <w:lang w:eastAsia="en-AU"/>
              </w:rPr>
              <w:t>Volunteer status</w:t>
            </w:r>
          </w:p>
        </w:tc>
        <w:tc>
          <w:tcPr>
            <w:tcW w:w="1401" w:type="pct"/>
            <w:tcBorders>
              <w:top w:val="single" w:sz="4" w:space="0" w:color="4472C4" w:themeColor="accent1"/>
              <w:bottom w:val="nil"/>
            </w:tcBorders>
            <w:shd w:val="clear" w:color="auto" w:fill="auto"/>
            <w:vAlign w:val="top"/>
            <w:hideMark/>
          </w:tcPr>
          <w:p w14:paraId="47530F82" w14:textId="77777777" w:rsidR="00CA666A" w:rsidRPr="00DC0581" w:rsidRDefault="00CA666A" w:rsidP="00FF70F0">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Not volunteered</w:t>
            </w:r>
          </w:p>
        </w:tc>
        <w:tc>
          <w:tcPr>
            <w:tcW w:w="927" w:type="pct"/>
            <w:tcBorders>
              <w:top w:val="single" w:sz="4" w:space="0" w:color="4472C4" w:themeColor="accent1"/>
              <w:bottom w:val="nil"/>
            </w:tcBorders>
            <w:shd w:val="clear" w:color="auto" w:fill="auto"/>
            <w:vAlign w:val="top"/>
            <w:hideMark/>
          </w:tcPr>
          <w:p w14:paraId="5886BC13" w14:textId="77777777" w:rsidR="00CA666A" w:rsidRPr="00DC0581" w:rsidRDefault="00CA666A" w:rsidP="00FF70F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cstheme="minorHAnsi"/>
                <w:color w:val="000000"/>
              </w:rPr>
              <w:t>80.5</w:t>
            </w:r>
          </w:p>
        </w:tc>
        <w:tc>
          <w:tcPr>
            <w:tcW w:w="1639" w:type="pct"/>
            <w:vMerge w:val="restart"/>
            <w:tcBorders>
              <w:top w:val="single" w:sz="8" w:space="0" w:color="4472C4" w:themeColor="accent1"/>
              <w:bottom w:val="single" w:sz="8" w:space="0" w:color="4472C4" w:themeColor="accent1"/>
            </w:tcBorders>
            <w:shd w:val="clear" w:color="auto" w:fill="auto"/>
            <w:vAlign w:val="top"/>
            <w:hideMark/>
          </w:tcPr>
          <w:p w14:paraId="43EA1A8A" w14:textId="77777777" w:rsidR="00CA666A" w:rsidRPr="00DC0581" w:rsidRDefault="00CA666A" w:rsidP="00FF70F0">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ABS Table Builder Census 2016 and ABS Australian Demographic Statistics Dec 2017</w:t>
            </w:r>
          </w:p>
        </w:tc>
      </w:tr>
      <w:tr w:rsidR="00CA666A" w:rsidRPr="00645E5E" w14:paraId="7AB62BFE" w14:textId="77777777" w:rsidTr="00FF70F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33" w:type="pct"/>
            <w:vMerge/>
            <w:tcBorders>
              <w:top w:val="single" w:sz="8" w:space="0" w:color="4472C4" w:themeColor="accent1"/>
            </w:tcBorders>
            <w:shd w:val="clear" w:color="auto" w:fill="auto"/>
            <w:vAlign w:val="top"/>
            <w:hideMark/>
          </w:tcPr>
          <w:p w14:paraId="7F6D4B7C" w14:textId="77777777" w:rsidR="00CA666A" w:rsidRPr="00DC0581" w:rsidRDefault="00CA666A" w:rsidP="00FF70F0">
            <w:pPr>
              <w:rPr>
                <w:rFonts w:asciiTheme="minorHAnsi" w:eastAsia="Times New Roman" w:hAnsiTheme="minorHAnsi" w:cstheme="minorHAnsi"/>
                <w:b/>
                <w:bCs/>
                <w:color w:val="000000"/>
                <w:sz w:val="22"/>
                <w:lang w:eastAsia="en-AU"/>
              </w:rPr>
            </w:pPr>
          </w:p>
        </w:tc>
        <w:tc>
          <w:tcPr>
            <w:tcW w:w="1401" w:type="pct"/>
            <w:tcBorders>
              <w:top w:val="nil"/>
              <w:bottom w:val="single" w:sz="4" w:space="0" w:color="4472C4" w:themeColor="accent1"/>
            </w:tcBorders>
            <w:shd w:val="clear" w:color="auto" w:fill="DEF2FA"/>
            <w:vAlign w:val="top"/>
            <w:hideMark/>
          </w:tcPr>
          <w:p w14:paraId="1EF5E08A" w14:textId="77777777" w:rsidR="00CA666A" w:rsidRPr="00DC0581" w:rsidRDefault="00CA666A" w:rsidP="00FF70F0">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eastAsia="Times New Roman" w:cstheme="minorHAnsi"/>
                <w:color w:val="000000"/>
                <w:lang w:eastAsia="en-AU"/>
              </w:rPr>
              <w:t>Volunteered in last 12 months</w:t>
            </w:r>
          </w:p>
        </w:tc>
        <w:tc>
          <w:tcPr>
            <w:tcW w:w="927" w:type="pct"/>
            <w:tcBorders>
              <w:top w:val="nil"/>
              <w:bottom w:val="single" w:sz="4" w:space="0" w:color="4472C4" w:themeColor="accent1"/>
            </w:tcBorders>
            <w:shd w:val="clear" w:color="auto" w:fill="DEF2FA"/>
            <w:vAlign w:val="top"/>
            <w:hideMark/>
          </w:tcPr>
          <w:p w14:paraId="59B3D7C9" w14:textId="77777777" w:rsidR="00CA666A" w:rsidRPr="00DC0581" w:rsidRDefault="00CA666A" w:rsidP="00FF70F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r w:rsidRPr="00DC0581">
              <w:rPr>
                <w:rFonts w:cstheme="minorHAnsi"/>
                <w:color w:val="000000"/>
              </w:rPr>
              <w:t>19.5</w:t>
            </w:r>
          </w:p>
        </w:tc>
        <w:tc>
          <w:tcPr>
            <w:tcW w:w="1639" w:type="pct"/>
            <w:vMerge/>
            <w:tcBorders>
              <w:top w:val="single" w:sz="8" w:space="0" w:color="4472C4" w:themeColor="accent1"/>
            </w:tcBorders>
            <w:shd w:val="clear" w:color="auto" w:fill="auto"/>
            <w:vAlign w:val="top"/>
            <w:hideMark/>
          </w:tcPr>
          <w:p w14:paraId="636A2910" w14:textId="77777777" w:rsidR="00CA666A" w:rsidRPr="00DC0581" w:rsidRDefault="00CA666A" w:rsidP="00FF70F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en-AU"/>
              </w:rPr>
            </w:pPr>
          </w:p>
        </w:tc>
      </w:tr>
      <w:bookmarkEnd w:id="2"/>
    </w:tbl>
    <w:p w14:paraId="39C29FAB" w14:textId="77777777" w:rsidR="00CA666A" w:rsidRPr="00645E5E" w:rsidRDefault="00CA666A" w:rsidP="00CA666A">
      <w:pPr>
        <w:rPr>
          <w:rFonts w:cstheme="minorHAnsi"/>
        </w:rPr>
      </w:pPr>
    </w:p>
    <w:p w14:paraId="7A742847" w14:textId="77777777" w:rsidR="00CA666A" w:rsidRPr="00645E5E" w:rsidRDefault="00CA666A" w:rsidP="00CA666A">
      <w:pPr>
        <w:rPr>
          <w:rFonts w:cstheme="minorHAnsi"/>
          <w:b/>
          <w:color w:val="1F688D"/>
        </w:rPr>
      </w:pPr>
      <w:r w:rsidRPr="00645E5E">
        <w:rPr>
          <w:rFonts w:cstheme="minorHAnsi"/>
        </w:rPr>
        <w:br w:type="page"/>
      </w:r>
    </w:p>
    <w:p w14:paraId="553A1EBB" w14:textId="77777777" w:rsidR="00CA666A" w:rsidRPr="00DC0581" w:rsidRDefault="00CA666A" w:rsidP="00CA666A">
      <w:pPr>
        <w:pStyle w:val="Heading4"/>
        <w:rPr>
          <w:rFonts w:asciiTheme="minorHAnsi" w:hAnsiTheme="minorHAnsi" w:cstheme="minorHAnsi"/>
        </w:rPr>
      </w:pPr>
      <w:r w:rsidRPr="00DC0581">
        <w:rPr>
          <w:rFonts w:asciiTheme="minorHAnsi" w:hAnsiTheme="minorHAnsi" w:cstheme="minorHAnsi"/>
        </w:rPr>
        <w:lastRenderedPageBreak/>
        <w:t>References</w:t>
      </w:r>
    </w:p>
    <w:p w14:paraId="31B9DE5A" w14:textId="77777777" w:rsidR="00CA666A" w:rsidRPr="00DC0581" w:rsidRDefault="00CA666A" w:rsidP="00CA666A">
      <w:pPr>
        <w:pStyle w:val="Body"/>
        <w:rPr>
          <w:rFonts w:asciiTheme="minorHAnsi" w:hAnsiTheme="minorHAnsi" w:cstheme="minorHAnsi"/>
          <w:sz w:val="22"/>
          <w:szCs w:val="22"/>
          <w:lang w:eastAsia="en-AU"/>
        </w:rPr>
      </w:pPr>
      <w:r w:rsidRPr="00DC0581">
        <w:rPr>
          <w:rFonts w:asciiTheme="minorHAnsi" w:hAnsiTheme="minorHAnsi" w:cstheme="minorHAnsi"/>
          <w:color w:val="000000"/>
          <w:sz w:val="22"/>
          <w:szCs w:val="22"/>
          <w:lang w:eastAsia="en-AU"/>
        </w:rPr>
        <w:t>Best, J. (2010). First-stage weights for overlapping dual frame telephone surveys. Paper presented at the 65th annual conference of the American Association for Public Opinion Research, Chicago, IL, USA, 15 May.</w:t>
      </w:r>
    </w:p>
    <w:p w14:paraId="4293E42F" w14:textId="77777777" w:rsidR="00CA666A" w:rsidRPr="00DC0581" w:rsidRDefault="00CA666A" w:rsidP="00CA666A">
      <w:pPr>
        <w:pStyle w:val="Body"/>
        <w:rPr>
          <w:rStyle w:val="selectable"/>
          <w:rFonts w:asciiTheme="minorHAnsi" w:hAnsiTheme="minorHAnsi" w:cstheme="minorHAnsi"/>
          <w:sz w:val="22"/>
          <w:szCs w:val="22"/>
        </w:rPr>
      </w:pPr>
      <w:r w:rsidRPr="00DC0581">
        <w:rPr>
          <w:rStyle w:val="selectable"/>
          <w:rFonts w:asciiTheme="minorHAnsi" w:hAnsiTheme="minorHAnsi" w:cstheme="minorHAnsi"/>
          <w:sz w:val="22"/>
          <w:szCs w:val="22"/>
        </w:rPr>
        <w:t xml:space="preserve">Cochran, W.G. (1968). The effectiveness of adjustment by subclassification in removing bias in observational studies. </w:t>
      </w:r>
      <w:r w:rsidRPr="00DC0581">
        <w:rPr>
          <w:rStyle w:val="selectable"/>
          <w:rFonts w:asciiTheme="minorHAnsi" w:hAnsiTheme="minorHAnsi" w:cstheme="minorHAnsi"/>
          <w:i/>
          <w:sz w:val="22"/>
          <w:szCs w:val="22"/>
        </w:rPr>
        <w:t>Biometrics</w:t>
      </w:r>
      <w:r w:rsidRPr="00DC0581">
        <w:rPr>
          <w:rStyle w:val="selectable"/>
          <w:rFonts w:asciiTheme="minorHAnsi" w:hAnsiTheme="minorHAnsi" w:cstheme="minorHAnsi"/>
          <w:sz w:val="22"/>
          <w:szCs w:val="22"/>
        </w:rPr>
        <w:t>, 24, 295–313.</w:t>
      </w:r>
    </w:p>
    <w:p w14:paraId="3EA5AF79" w14:textId="77777777" w:rsidR="00CA666A" w:rsidRPr="00DC0581" w:rsidRDefault="00CA666A" w:rsidP="00CA666A">
      <w:pPr>
        <w:pStyle w:val="Body"/>
        <w:rPr>
          <w:rFonts w:asciiTheme="minorHAnsi" w:hAnsiTheme="minorHAnsi" w:cstheme="minorHAnsi"/>
          <w:color w:val="000000"/>
          <w:sz w:val="22"/>
          <w:szCs w:val="22"/>
          <w:lang w:eastAsia="en-AU"/>
        </w:rPr>
      </w:pPr>
      <w:r w:rsidRPr="00DC0581">
        <w:rPr>
          <w:rFonts w:asciiTheme="minorHAnsi" w:hAnsiTheme="minorHAnsi" w:cstheme="minorHAnsi"/>
          <w:color w:val="000000"/>
          <w:sz w:val="22"/>
          <w:szCs w:val="22"/>
          <w:lang w:eastAsia="en-AU"/>
        </w:rPr>
        <w:t xml:space="preserve">Deville, J.-C. &amp; C.-E. </w:t>
      </w:r>
      <w:proofErr w:type="spellStart"/>
      <w:r w:rsidRPr="00DC0581">
        <w:rPr>
          <w:rFonts w:asciiTheme="minorHAnsi" w:hAnsiTheme="minorHAnsi" w:cstheme="minorHAnsi"/>
          <w:color w:val="000000"/>
          <w:sz w:val="22"/>
          <w:szCs w:val="22"/>
          <w:lang w:eastAsia="en-AU"/>
        </w:rPr>
        <w:t>Särndal</w:t>
      </w:r>
      <w:proofErr w:type="spellEnd"/>
      <w:r w:rsidRPr="00DC0581">
        <w:rPr>
          <w:rFonts w:asciiTheme="minorHAnsi" w:hAnsiTheme="minorHAnsi" w:cstheme="minorHAnsi"/>
          <w:color w:val="000000"/>
          <w:sz w:val="22"/>
          <w:szCs w:val="22"/>
          <w:lang w:eastAsia="en-AU"/>
        </w:rPr>
        <w:t xml:space="preserve">. (1992). Calibration estimators in survey sampling. </w:t>
      </w:r>
      <w:r w:rsidRPr="00DC0581">
        <w:rPr>
          <w:rFonts w:asciiTheme="minorHAnsi" w:hAnsiTheme="minorHAnsi" w:cstheme="minorHAnsi"/>
          <w:i/>
          <w:color w:val="000000"/>
          <w:sz w:val="22"/>
          <w:szCs w:val="22"/>
          <w:lang w:eastAsia="en-AU"/>
        </w:rPr>
        <w:t>Journal of the American Statistical Association</w:t>
      </w:r>
      <w:r w:rsidRPr="00DC0581">
        <w:rPr>
          <w:rFonts w:asciiTheme="minorHAnsi" w:hAnsiTheme="minorHAnsi" w:cstheme="minorHAnsi"/>
          <w:color w:val="000000"/>
          <w:sz w:val="22"/>
          <w:szCs w:val="22"/>
          <w:lang w:eastAsia="en-AU"/>
        </w:rPr>
        <w:t>, 87(418), 376-382.</w:t>
      </w:r>
    </w:p>
    <w:p w14:paraId="75498AF9" w14:textId="77777777" w:rsidR="00CA666A" w:rsidRPr="00DC0581" w:rsidRDefault="00CA666A" w:rsidP="00CA666A">
      <w:pPr>
        <w:pStyle w:val="Body"/>
        <w:rPr>
          <w:rFonts w:asciiTheme="minorHAnsi" w:hAnsiTheme="minorHAnsi" w:cstheme="minorHAnsi"/>
          <w:sz w:val="22"/>
          <w:szCs w:val="22"/>
        </w:rPr>
      </w:pPr>
      <w:r w:rsidRPr="00DC0581">
        <w:rPr>
          <w:rFonts w:asciiTheme="minorHAnsi" w:hAnsiTheme="minorHAnsi" w:cstheme="minorHAnsi"/>
          <w:sz w:val="22"/>
          <w:szCs w:val="22"/>
        </w:rPr>
        <w:t>Kish, L. (1992). Weighting for unequal Pi. Journal of Official Statistics, 8(2), 183-200.</w:t>
      </w:r>
    </w:p>
    <w:p w14:paraId="21656061" w14:textId="77777777" w:rsidR="00CA666A" w:rsidRPr="00DC0581" w:rsidRDefault="00CA666A" w:rsidP="00CA666A">
      <w:pPr>
        <w:pStyle w:val="Body"/>
        <w:rPr>
          <w:rFonts w:asciiTheme="minorHAnsi" w:hAnsiTheme="minorHAnsi" w:cstheme="minorHAnsi"/>
          <w:sz w:val="22"/>
          <w:szCs w:val="22"/>
          <w:lang w:eastAsia="en-AU"/>
        </w:rPr>
      </w:pPr>
      <w:r w:rsidRPr="00DC0581">
        <w:rPr>
          <w:rFonts w:asciiTheme="minorHAnsi" w:hAnsiTheme="minorHAnsi" w:cstheme="minorHAnsi"/>
          <w:sz w:val="22"/>
          <w:szCs w:val="22"/>
          <w:lang w:eastAsia="en-AU"/>
        </w:rPr>
        <w:t xml:space="preserve">Lumley, T. (2004). Analysis of complex survey samples. </w:t>
      </w:r>
      <w:r w:rsidRPr="00DC0581">
        <w:rPr>
          <w:rFonts w:asciiTheme="minorHAnsi" w:hAnsiTheme="minorHAnsi" w:cstheme="minorHAnsi"/>
          <w:i/>
          <w:sz w:val="22"/>
          <w:szCs w:val="22"/>
          <w:lang w:eastAsia="en-AU"/>
        </w:rPr>
        <w:t>Journal of Statistical Software</w:t>
      </w:r>
      <w:r w:rsidRPr="00DC0581">
        <w:rPr>
          <w:rFonts w:asciiTheme="minorHAnsi" w:hAnsiTheme="minorHAnsi" w:cstheme="minorHAnsi"/>
          <w:sz w:val="22"/>
          <w:szCs w:val="22"/>
          <w:lang w:eastAsia="en-AU"/>
        </w:rPr>
        <w:t xml:space="preserve">, 9(1). </w:t>
      </w:r>
      <w:hyperlink r:id="rId7" w:history="1">
        <w:r w:rsidRPr="00DC0581">
          <w:rPr>
            <w:rStyle w:val="Hyperlink"/>
            <w:rFonts w:asciiTheme="minorHAnsi" w:hAnsiTheme="minorHAnsi" w:cstheme="minorHAnsi"/>
            <w:sz w:val="22"/>
            <w:szCs w:val="22"/>
            <w:lang w:eastAsia="en-AU"/>
          </w:rPr>
          <w:t>https://www.jstatsoft.org/article/view/v009i08</w:t>
        </w:r>
      </w:hyperlink>
      <w:r w:rsidRPr="00DC0581">
        <w:rPr>
          <w:rFonts w:asciiTheme="minorHAnsi" w:hAnsiTheme="minorHAnsi" w:cstheme="minorHAnsi"/>
          <w:sz w:val="22"/>
          <w:szCs w:val="22"/>
          <w:lang w:eastAsia="en-AU"/>
        </w:rPr>
        <w:t xml:space="preserve"> (accessed 26 September 2018).</w:t>
      </w:r>
    </w:p>
    <w:p w14:paraId="492F2EB2" w14:textId="77777777" w:rsidR="00CA666A" w:rsidRPr="00DC0581" w:rsidRDefault="00CA666A" w:rsidP="00CA666A">
      <w:pPr>
        <w:pStyle w:val="Body"/>
        <w:rPr>
          <w:rFonts w:asciiTheme="minorHAnsi" w:hAnsiTheme="minorHAnsi" w:cstheme="minorHAnsi"/>
          <w:sz w:val="22"/>
          <w:szCs w:val="22"/>
          <w:lang w:eastAsia="en-AU"/>
        </w:rPr>
      </w:pPr>
      <w:r w:rsidRPr="00DC0581">
        <w:rPr>
          <w:rFonts w:asciiTheme="minorHAnsi" w:hAnsiTheme="minorHAnsi" w:cstheme="minorHAnsi"/>
          <w:sz w:val="22"/>
          <w:szCs w:val="22"/>
          <w:lang w:eastAsia="en-AU"/>
        </w:rPr>
        <w:t xml:space="preserve">Lumley, T. (2019) Survey: analysis of complex survey samples. R package version 3.35-1. </w:t>
      </w:r>
      <w:hyperlink r:id="rId8" w:history="1">
        <w:r w:rsidRPr="00DC0581">
          <w:rPr>
            <w:rStyle w:val="Hyperlink"/>
            <w:rFonts w:asciiTheme="minorHAnsi" w:hAnsiTheme="minorHAnsi" w:cstheme="minorHAnsi"/>
            <w:sz w:val="22"/>
            <w:szCs w:val="22"/>
            <w:lang w:eastAsia="en-AU"/>
          </w:rPr>
          <w:t>https://cran.r-project.org/package=survey</w:t>
        </w:r>
      </w:hyperlink>
      <w:r w:rsidRPr="00DC0581">
        <w:rPr>
          <w:rFonts w:asciiTheme="minorHAnsi" w:hAnsiTheme="minorHAnsi" w:cstheme="minorHAnsi"/>
          <w:sz w:val="22"/>
          <w:szCs w:val="22"/>
          <w:lang w:eastAsia="en-AU"/>
        </w:rPr>
        <w:t>.</w:t>
      </w:r>
    </w:p>
    <w:p w14:paraId="321F4B1E" w14:textId="77777777" w:rsidR="00CA666A" w:rsidRPr="00DC0581" w:rsidRDefault="00CA666A" w:rsidP="00CA666A">
      <w:pPr>
        <w:pStyle w:val="Body"/>
        <w:rPr>
          <w:rFonts w:asciiTheme="minorHAnsi" w:hAnsiTheme="minorHAnsi" w:cstheme="minorHAnsi"/>
          <w:sz w:val="22"/>
          <w:szCs w:val="22"/>
          <w:lang w:eastAsia="en-AU"/>
        </w:rPr>
      </w:pPr>
      <w:r w:rsidRPr="00DC0581">
        <w:rPr>
          <w:rFonts w:asciiTheme="minorHAnsi" w:hAnsiTheme="minorHAnsi" w:cstheme="minorHAnsi"/>
          <w:sz w:val="22"/>
          <w:szCs w:val="22"/>
          <w:lang w:eastAsia="en-AU"/>
        </w:rPr>
        <w:t>R Core Team (2019). R: A language and environment for statistical computing. R Foundation for Statistical Computing, Vienna, Austria.</w:t>
      </w:r>
      <w:r w:rsidRPr="00DC0581">
        <w:rPr>
          <w:rFonts w:asciiTheme="minorHAnsi" w:hAnsiTheme="minorHAnsi" w:cstheme="minorHAnsi"/>
          <w:sz w:val="22"/>
          <w:szCs w:val="22"/>
        </w:rPr>
        <w:t xml:space="preserve"> </w:t>
      </w:r>
      <w:hyperlink r:id="rId9" w:history="1">
        <w:r w:rsidRPr="00DC0581">
          <w:rPr>
            <w:rStyle w:val="Hyperlink"/>
            <w:rFonts w:asciiTheme="minorHAnsi" w:hAnsiTheme="minorHAnsi" w:cstheme="minorHAnsi"/>
            <w:sz w:val="22"/>
            <w:szCs w:val="22"/>
            <w:lang w:eastAsia="en-AU"/>
          </w:rPr>
          <w:t>https://www.R-project.org/</w:t>
        </w:r>
      </w:hyperlink>
      <w:r w:rsidRPr="00DC0581">
        <w:rPr>
          <w:rFonts w:asciiTheme="minorHAnsi" w:hAnsiTheme="minorHAnsi" w:cstheme="minorHAnsi"/>
          <w:sz w:val="22"/>
          <w:szCs w:val="22"/>
          <w:lang w:eastAsia="en-AU"/>
        </w:rPr>
        <w:t xml:space="preserve">. </w:t>
      </w:r>
    </w:p>
    <w:p w14:paraId="75917950" w14:textId="77777777" w:rsidR="00CA666A" w:rsidRPr="00DC0581" w:rsidRDefault="00CA666A" w:rsidP="00CA666A">
      <w:pPr>
        <w:pStyle w:val="Body"/>
        <w:rPr>
          <w:rFonts w:asciiTheme="minorHAnsi" w:hAnsiTheme="minorHAnsi" w:cstheme="minorHAnsi"/>
          <w:sz w:val="22"/>
          <w:szCs w:val="22"/>
          <w:lang w:eastAsia="en-AU"/>
        </w:rPr>
      </w:pPr>
      <w:r w:rsidRPr="00DC0581">
        <w:rPr>
          <w:rFonts w:asciiTheme="minorHAnsi" w:hAnsiTheme="minorHAnsi" w:cstheme="minorHAnsi"/>
          <w:sz w:val="22"/>
          <w:szCs w:val="22"/>
          <w:lang w:eastAsia="en-AU"/>
        </w:rPr>
        <w:t xml:space="preserve">Rosenbaum, P. &amp; Rubin, D. (1983). The central role of the propensity score in observational studies for causal effects. </w:t>
      </w:r>
      <w:proofErr w:type="spellStart"/>
      <w:r w:rsidRPr="00DC0581">
        <w:rPr>
          <w:rFonts w:asciiTheme="minorHAnsi" w:hAnsiTheme="minorHAnsi" w:cstheme="minorHAnsi"/>
          <w:i/>
          <w:sz w:val="22"/>
          <w:szCs w:val="22"/>
          <w:lang w:eastAsia="en-AU"/>
        </w:rPr>
        <w:t>Biometrika</w:t>
      </w:r>
      <w:proofErr w:type="spellEnd"/>
      <w:r w:rsidRPr="00DC0581">
        <w:rPr>
          <w:rFonts w:asciiTheme="minorHAnsi" w:hAnsiTheme="minorHAnsi" w:cstheme="minorHAnsi"/>
          <w:sz w:val="22"/>
          <w:szCs w:val="22"/>
          <w:lang w:eastAsia="en-AU"/>
        </w:rPr>
        <w:t xml:space="preserve"> 70(1), 41–55.</w:t>
      </w:r>
    </w:p>
    <w:p w14:paraId="68E7F3D6" w14:textId="77777777" w:rsidR="00CA666A" w:rsidRPr="00DC0581" w:rsidRDefault="00CA666A" w:rsidP="00CA666A">
      <w:pPr>
        <w:pStyle w:val="Body"/>
        <w:rPr>
          <w:rFonts w:asciiTheme="minorHAnsi" w:hAnsiTheme="minorHAnsi" w:cstheme="minorHAnsi"/>
          <w:sz w:val="22"/>
          <w:szCs w:val="22"/>
        </w:rPr>
      </w:pPr>
      <w:r w:rsidRPr="00DC0581">
        <w:rPr>
          <w:rFonts w:asciiTheme="minorHAnsi" w:hAnsiTheme="minorHAnsi" w:cstheme="minorHAnsi"/>
          <w:sz w:val="22"/>
          <w:szCs w:val="22"/>
          <w:lang w:eastAsia="en-AU"/>
        </w:rPr>
        <w:t xml:space="preserve">Valliant, R., </w:t>
      </w:r>
      <w:proofErr w:type="spellStart"/>
      <w:r w:rsidRPr="00DC0581">
        <w:rPr>
          <w:rFonts w:asciiTheme="minorHAnsi" w:hAnsiTheme="minorHAnsi" w:cstheme="minorHAnsi"/>
          <w:sz w:val="22"/>
          <w:szCs w:val="22"/>
          <w:lang w:eastAsia="en-AU"/>
        </w:rPr>
        <w:t>Dever</w:t>
      </w:r>
      <w:proofErr w:type="spellEnd"/>
      <w:r w:rsidRPr="00DC0581">
        <w:rPr>
          <w:rFonts w:asciiTheme="minorHAnsi" w:hAnsiTheme="minorHAnsi" w:cstheme="minorHAnsi"/>
          <w:sz w:val="22"/>
          <w:szCs w:val="22"/>
          <w:lang w:eastAsia="en-AU"/>
        </w:rPr>
        <w:t xml:space="preserve">, J. A., &amp; </w:t>
      </w:r>
      <w:proofErr w:type="spellStart"/>
      <w:r w:rsidRPr="00DC0581">
        <w:rPr>
          <w:rFonts w:asciiTheme="minorHAnsi" w:hAnsiTheme="minorHAnsi" w:cstheme="minorHAnsi"/>
          <w:sz w:val="22"/>
          <w:szCs w:val="22"/>
          <w:lang w:eastAsia="en-AU"/>
        </w:rPr>
        <w:t>Kreuter</w:t>
      </w:r>
      <w:proofErr w:type="spellEnd"/>
      <w:r w:rsidRPr="00DC0581">
        <w:rPr>
          <w:rFonts w:asciiTheme="minorHAnsi" w:hAnsiTheme="minorHAnsi" w:cstheme="minorHAnsi"/>
          <w:sz w:val="22"/>
          <w:szCs w:val="22"/>
          <w:lang w:eastAsia="en-AU"/>
        </w:rPr>
        <w:t xml:space="preserve">, F. (2013). </w:t>
      </w:r>
      <w:r w:rsidRPr="00DC0581">
        <w:rPr>
          <w:rFonts w:asciiTheme="minorHAnsi" w:hAnsiTheme="minorHAnsi" w:cstheme="minorHAnsi"/>
          <w:i/>
          <w:sz w:val="22"/>
          <w:szCs w:val="22"/>
          <w:lang w:eastAsia="en-AU"/>
        </w:rPr>
        <w:t>Practical Tools for Designing and Weighting Survey Samples</w:t>
      </w:r>
      <w:r w:rsidRPr="00DC0581">
        <w:rPr>
          <w:rFonts w:asciiTheme="minorHAnsi" w:hAnsiTheme="minorHAnsi" w:cstheme="minorHAnsi"/>
          <w:sz w:val="22"/>
          <w:szCs w:val="22"/>
          <w:lang w:eastAsia="en-AU"/>
        </w:rPr>
        <w:t>. New York, NY, USA: Springer.</w:t>
      </w:r>
    </w:p>
    <w:p w14:paraId="49C4543C" w14:textId="77777777" w:rsidR="00CA666A" w:rsidRDefault="00CA666A">
      <w:bookmarkStart w:id="7" w:name="_GoBack"/>
      <w:bookmarkEnd w:id="7"/>
    </w:p>
    <w:sectPr w:rsidR="00CA66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B56BC" w14:textId="77777777" w:rsidR="00272FCB" w:rsidRDefault="00272FCB" w:rsidP="00CA666A">
      <w:pPr>
        <w:spacing w:after="0" w:line="240" w:lineRule="auto"/>
      </w:pPr>
      <w:r>
        <w:separator/>
      </w:r>
    </w:p>
  </w:endnote>
  <w:endnote w:type="continuationSeparator" w:id="0">
    <w:p w14:paraId="56265575" w14:textId="77777777" w:rsidR="00272FCB" w:rsidRDefault="00272FCB" w:rsidP="00CA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83750" w14:textId="77777777" w:rsidR="00272FCB" w:rsidRDefault="00272FCB" w:rsidP="00CA666A">
      <w:pPr>
        <w:spacing w:after="0" w:line="240" w:lineRule="auto"/>
      </w:pPr>
      <w:r>
        <w:separator/>
      </w:r>
    </w:p>
  </w:footnote>
  <w:footnote w:type="continuationSeparator" w:id="0">
    <w:p w14:paraId="42DED3AF" w14:textId="77777777" w:rsidR="00272FCB" w:rsidRDefault="00272FCB" w:rsidP="00CA666A">
      <w:pPr>
        <w:spacing w:after="0" w:line="240" w:lineRule="auto"/>
      </w:pPr>
      <w:r>
        <w:continuationSeparator/>
      </w:r>
    </w:p>
  </w:footnote>
  <w:footnote w:id="1">
    <w:p w14:paraId="258249A9" w14:textId="77777777" w:rsidR="00CA666A" w:rsidRPr="00773449" w:rsidRDefault="00CA666A" w:rsidP="00CA666A">
      <w:pPr>
        <w:pStyle w:val="FootnoteText"/>
        <w:rPr>
          <w:lang w:val="en-US"/>
        </w:rPr>
      </w:pPr>
      <w:r w:rsidRPr="0063158E">
        <w:rPr>
          <w:rStyle w:val="FootnoteReference"/>
        </w:rPr>
        <w:footnoteRef/>
      </w:r>
      <w:r w:rsidRPr="0063158E">
        <w:t xml:space="preserve"> </w:t>
      </w:r>
      <w:r w:rsidRPr="00565B77">
        <w:rPr>
          <w:rFonts w:cs="Arial"/>
          <w:sz w:val="16"/>
        </w:rPr>
        <w:t xml:space="preserve">Refer to Lumley (2004, 2019) for more details on the implementation of GREG weighting in R (R Core, 2019) and to Valliant, </w:t>
      </w:r>
      <w:proofErr w:type="spellStart"/>
      <w:r w:rsidRPr="00565B77">
        <w:rPr>
          <w:rFonts w:cs="Arial"/>
          <w:sz w:val="16"/>
        </w:rPr>
        <w:t>Dever</w:t>
      </w:r>
      <w:proofErr w:type="spellEnd"/>
      <w:r w:rsidRPr="00565B77">
        <w:rPr>
          <w:rFonts w:cs="Arial"/>
          <w:sz w:val="16"/>
        </w:rPr>
        <w:t xml:space="preserve">, and </w:t>
      </w:r>
      <w:proofErr w:type="spellStart"/>
      <w:r w:rsidRPr="00565B77">
        <w:rPr>
          <w:rFonts w:cs="Arial"/>
          <w:sz w:val="16"/>
        </w:rPr>
        <w:t>Kreuter</w:t>
      </w:r>
      <w:proofErr w:type="spellEnd"/>
      <w:r w:rsidRPr="00565B77">
        <w:rPr>
          <w:rFonts w:cs="Arial"/>
          <w:sz w:val="16"/>
        </w:rPr>
        <w:t xml:space="preserve"> (2013) for a more general treatment of design, weighting and estimation for sample surveys.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497429D2"/>
    <w:multiLevelType w:val="hybridMultilevel"/>
    <w:tmpl w:val="371477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6A"/>
    <w:rsid w:val="00272FCB"/>
    <w:rsid w:val="00CA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BED4"/>
  <w15:chartTrackingRefBased/>
  <w15:docId w15:val="{5494764C-5C78-4A32-A77F-D108CD48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66A"/>
    <w:rPr>
      <w:lang w:val="en-AU"/>
    </w:rPr>
  </w:style>
  <w:style w:type="paragraph" w:styleId="Heading1">
    <w:name w:val="heading 1"/>
    <w:basedOn w:val="Normal"/>
    <w:next w:val="Normal"/>
    <w:link w:val="Heading1Char"/>
    <w:uiPriority w:val="9"/>
    <w:qFormat/>
    <w:rsid w:val="00CA66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Body"/>
    <w:link w:val="Heading4Char"/>
    <w:uiPriority w:val="9"/>
    <w:unhideWhenUsed/>
    <w:qFormat/>
    <w:rsid w:val="00CA666A"/>
    <w:pPr>
      <w:keepNext/>
      <w:keepLines/>
      <w:spacing w:before="240" w:after="120" w:line="240" w:lineRule="auto"/>
      <w:jc w:val="both"/>
      <w:outlineLvl w:val="3"/>
    </w:pPr>
    <w:rPr>
      <w:rFonts w:ascii="Arial" w:hAnsi="Arial"/>
      <w:b/>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A666A"/>
    <w:rPr>
      <w:rFonts w:ascii="Arial" w:hAnsi="Arial"/>
      <w:b/>
      <w:color w:val="1F688D"/>
      <w:lang w:val="en-AU"/>
    </w:rPr>
  </w:style>
  <w:style w:type="character" w:styleId="Hyperlink">
    <w:name w:val="Hyperlink"/>
    <w:basedOn w:val="DefaultParagraphFont"/>
    <w:uiPriority w:val="99"/>
    <w:unhideWhenUsed/>
    <w:rsid w:val="00CA666A"/>
    <w:rPr>
      <w:color w:val="0563C1" w:themeColor="hyperlink"/>
      <w:u w:val="single"/>
    </w:rPr>
  </w:style>
  <w:style w:type="paragraph" w:styleId="ListParagraph">
    <w:name w:val="List Paragraph"/>
    <w:basedOn w:val="Normal"/>
    <w:link w:val="ListParagraphChar"/>
    <w:uiPriority w:val="34"/>
    <w:qFormat/>
    <w:rsid w:val="00CA666A"/>
    <w:pPr>
      <w:ind w:left="720"/>
      <w:contextualSpacing/>
    </w:pPr>
  </w:style>
  <w:style w:type="paragraph" w:styleId="Caption">
    <w:name w:val="caption"/>
    <w:basedOn w:val="Normal"/>
    <w:next w:val="Body"/>
    <w:uiPriority w:val="35"/>
    <w:unhideWhenUsed/>
    <w:qFormat/>
    <w:rsid w:val="00CA666A"/>
    <w:pPr>
      <w:spacing w:before="240" w:after="120" w:line="240" w:lineRule="auto"/>
      <w:ind w:left="1418" w:hanging="1418"/>
    </w:pPr>
    <w:rPr>
      <w:rFonts w:ascii="Arial Bold" w:eastAsia="Times New Roman" w:hAnsi="Arial Bold" w:cs="Times New Roman"/>
      <w:b/>
      <w:bCs/>
      <w:color w:val="1F688D"/>
      <w:sz w:val="20"/>
      <w:szCs w:val="18"/>
    </w:rPr>
  </w:style>
  <w:style w:type="paragraph" w:customStyle="1" w:styleId="Bullets1">
    <w:name w:val="Bullets 1"/>
    <w:basedOn w:val="Normal"/>
    <w:qFormat/>
    <w:rsid w:val="00CA666A"/>
    <w:pPr>
      <w:numPr>
        <w:numId w:val="1"/>
      </w:numPr>
      <w:spacing w:before="120" w:after="120" w:line="300" w:lineRule="auto"/>
    </w:pPr>
    <w:rPr>
      <w:rFonts w:ascii="Arial" w:eastAsia="Times New Roman" w:hAnsi="Arial" w:cs="Times New Roman"/>
      <w:sz w:val="20"/>
      <w:szCs w:val="20"/>
    </w:rPr>
  </w:style>
  <w:style w:type="paragraph" w:customStyle="1" w:styleId="AppendixHeading">
    <w:name w:val="Appendix Heading"/>
    <w:basedOn w:val="Heading1"/>
    <w:next w:val="Body"/>
    <w:link w:val="AppendixHeadingChar"/>
    <w:qFormat/>
    <w:rsid w:val="00CA666A"/>
    <w:pPr>
      <w:keepNext w:val="0"/>
      <w:keepLines w:val="0"/>
      <w:pageBreakBefore/>
      <w:tabs>
        <w:tab w:val="left" w:pos="2835"/>
      </w:tabs>
      <w:spacing w:before="0" w:after="240" w:line="240" w:lineRule="auto"/>
    </w:pPr>
    <w:rPr>
      <w:rFonts w:ascii="Arial" w:hAnsi="Arial"/>
      <w:b/>
      <w:color w:val="1F688D"/>
      <w:sz w:val="40"/>
      <w:szCs w:val="40"/>
    </w:rPr>
  </w:style>
  <w:style w:type="character" w:customStyle="1" w:styleId="AppendixHeadingChar">
    <w:name w:val="Appendix Heading Char"/>
    <w:basedOn w:val="Heading1Char"/>
    <w:link w:val="AppendixHeading"/>
    <w:rsid w:val="00CA666A"/>
    <w:rPr>
      <w:rFonts w:ascii="Arial" w:eastAsiaTheme="majorEastAsia" w:hAnsi="Arial" w:cstheme="majorBidi"/>
      <w:b/>
      <w:color w:val="1F688D"/>
      <w:sz w:val="40"/>
      <w:szCs w:val="40"/>
      <w:lang w:val="en-AU"/>
    </w:rPr>
  </w:style>
  <w:style w:type="paragraph" w:customStyle="1" w:styleId="Bullets2">
    <w:name w:val="Bullets 2"/>
    <w:basedOn w:val="Normal"/>
    <w:autoRedefine/>
    <w:qFormat/>
    <w:rsid w:val="00CA666A"/>
    <w:pPr>
      <w:numPr>
        <w:ilvl w:val="1"/>
        <w:numId w:val="1"/>
      </w:numPr>
      <w:spacing w:before="120" w:after="120" w:line="300" w:lineRule="auto"/>
      <w:jc w:val="both"/>
    </w:pPr>
    <w:rPr>
      <w:rFonts w:ascii="Arial" w:eastAsia="Times New Roman" w:hAnsi="Arial" w:cs="Times New Roman"/>
      <w:sz w:val="20"/>
      <w:szCs w:val="20"/>
    </w:rPr>
  </w:style>
  <w:style w:type="paragraph" w:customStyle="1" w:styleId="Bullets3">
    <w:name w:val="Bullets 3"/>
    <w:basedOn w:val="Normal"/>
    <w:qFormat/>
    <w:rsid w:val="00CA666A"/>
    <w:pPr>
      <w:numPr>
        <w:ilvl w:val="2"/>
        <w:numId w:val="1"/>
      </w:numPr>
      <w:spacing w:before="120" w:after="120" w:line="300" w:lineRule="auto"/>
      <w:jc w:val="both"/>
    </w:pPr>
    <w:rPr>
      <w:rFonts w:ascii="Arial" w:eastAsia="Times New Roman" w:hAnsi="Arial" w:cs="Times New Roman"/>
      <w:sz w:val="20"/>
      <w:szCs w:val="20"/>
    </w:rPr>
  </w:style>
  <w:style w:type="paragraph" w:customStyle="1" w:styleId="Body">
    <w:name w:val="Body"/>
    <w:basedOn w:val="Normal"/>
    <w:link w:val="BodyChar"/>
    <w:qFormat/>
    <w:rsid w:val="00CA666A"/>
    <w:pPr>
      <w:spacing w:before="120" w:after="120" w:line="300" w:lineRule="auto"/>
    </w:pPr>
    <w:rPr>
      <w:rFonts w:ascii="Arial" w:eastAsia="Times New Roman" w:hAnsi="Arial" w:cs="Times New Roman"/>
      <w:sz w:val="20"/>
      <w:szCs w:val="20"/>
    </w:rPr>
  </w:style>
  <w:style w:type="character" w:customStyle="1" w:styleId="BodyChar">
    <w:name w:val="Body Char"/>
    <w:link w:val="Body"/>
    <w:rsid w:val="00CA666A"/>
    <w:rPr>
      <w:rFonts w:ascii="Arial" w:eastAsia="Times New Roman" w:hAnsi="Arial" w:cs="Times New Roman"/>
      <w:sz w:val="20"/>
      <w:szCs w:val="20"/>
      <w:lang w:val="en-AU"/>
    </w:rPr>
  </w:style>
  <w:style w:type="character" w:styleId="FootnoteReference">
    <w:name w:val="footnote reference"/>
    <w:basedOn w:val="DefaultParagraphFont"/>
    <w:uiPriority w:val="99"/>
    <w:rsid w:val="00CA666A"/>
    <w:rPr>
      <w:rFonts w:cs="Times New Roman"/>
      <w:vertAlign w:val="superscript"/>
    </w:rPr>
  </w:style>
  <w:style w:type="table" w:customStyle="1" w:styleId="SRC">
    <w:name w:val="SRC"/>
    <w:basedOn w:val="TableNormal"/>
    <w:uiPriority w:val="99"/>
    <w:rsid w:val="00CA666A"/>
    <w:pPr>
      <w:spacing w:before="60" w:after="60" w:line="240" w:lineRule="auto"/>
    </w:pPr>
    <w:rPr>
      <w:rFonts w:ascii="Arial" w:hAnsi="Arial"/>
      <w:sz w:val="18"/>
      <w:lang w:val="en-AU"/>
    </w:rPr>
    <w:tblPr>
      <w:tblStyleRowBandSize w:val="1"/>
      <w:tblStyleColBandSize w:val="1"/>
      <w:tblBorders>
        <w:bottom w:val="single" w:sz="4" w:space="0" w:color="4472C4" w:themeColor="accent1"/>
      </w:tblBorders>
    </w:tblPr>
    <w:tblStylePr w:type="firstRow">
      <w:pPr>
        <w:wordWrap/>
        <w:spacing w:beforeLines="0" w:beforeAutospacing="0" w:afterLines="0" w:afterAutospacing="0" w:line="240" w:lineRule="auto"/>
        <w:contextualSpacing w:val="0"/>
        <w:jc w:val="center"/>
      </w:pPr>
      <w:rPr>
        <w:rFonts w:ascii="Arial" w:hAnsi="Arial"/>
        <w:b/>
        <w:color w:val="FFFFFF" w:themeColor="background1"/>
        <w:sz w:val="18"/>
      </w:rPr>
      <w:tblPr/>
      <w:tcPr>
        <w:shd w:val="clear" w:color="auto" w:fill="4472C4" w:themeFill="accent1"/>
        <w:vAlign w:val="center"/>
      </w:tcPr>
    </w:tblStylePr>
    <w:tblStylePr w:type="lastRow">
      <w:pPr>
        <w:wordWrap/>
        <w:spacing w:beforeLines="0" w:beforeAutospacing="0" w:afterLines="0" w:afterAutospacing="0" w:line="240" w:lineRule="auto"/>
        <w:contextualSpacing w:val="0"/>
      </w:pPr>
    </w:tblStylePr>
    <w:tblStylePr w:type="firstCol">
      <w:pPr>
        <w:wordWrap/>
        <w:spacing w:beforeLines="0" w:beforeAutospacing="0" w:afterLines="0" w:afterAutospacing="0" w:line="240" w:lineRule="auto"/>
        <w:contextualSpacing w:val="0"/>
        <w:jc w:val="left"/>
      </w:pPr>
      <w:tblPr/>
      <w:tcPr>
        <w:vAlign w:val="center"/>
      </w:tcPr>
    </w:tblStylePr>
    <w:tblStylePr w:type="band1Vert">
      <w:pPr>
        <w:wordWrap/>
        <w:spacing w:beforeLines="0" w:beforeAutospacing="0" w:afterLines="0" w:afterAutospacing="0" w:line="240" w:lineRule="auto"/>
        <w:ind w:rightChars="0" w:right="113"/>
        <w:contextualSpacing w:val="0"/>
        <w:jc w:val="right"/>
        <w:outlineLvl w:val="9"/>
      </w:pPr>
      <w:tblPr/>
      <w:tcPr>
        <w:vAlign w:val="center"/>
      </w:tcPr>
    </w:tblStylePr>
    <w:tblStylePr w:type="band2Vert">
      <w:pPr>
        <w:wordWrap/>
        <w:spacing w:beforeLines="0" w:beforeAutospacing="0" w:afterLines="0" w:afterAutospacing="0" w:line="240" w:lineRule="auto"/>
        <w:ind w:rightChars="0" w:right="113"/>
        <w:contextualSpacing w:val="0"/>
        <w:jc w:val="right"/>
      </w:pPr>
      <w:tblPr/>
      <w:tcPr>
        <w:vAlign w:val="center"/>
      </w:tcPr>
    </w:tblStylePr>
    <w:tblStylePr w:type="band1Horz">
      <w:pPr>
        <w:wordWrap/>
        <w:spacing w:beforeLines="0" w:beforeAutospacing="0" w:afterLines="0" w:afterAutospacing="0" w:line="240" w:lineRule="auto"/>
        <w:ind w:rightChars="0" w:right="0"/>
        <w:contextualSpacing w:val="0"/>
        <w:mirrorIndents w:val="0"/>
        <w:jc w:val="right"/>
      </w:pPr>
      <w:rPr>
        <w:rFonts w:ascii="Arial" w:hAnsi="Arial"/>
        <w:sz w:val="18"/>
      </w:rPr>
      <w:tblPr/>
      <w:tcPr>
        <w:shd w:val="clear" w:color="auto" w:fill="D9E2F3" w:themeFill="accent1" w:themeFillTint="33"/>
        <w:vAlign w:val="center"/>
      </w:tcPr>
    </w:tblStylePr>
    <w:tblStylePr w:type="band2Horz">
      <w:pPr>
        <w:wordWrap/>
        <w:spacing w:beforeLines="0" w:beforeAutospacing="0" w:afterLines="0" w:afterAutospacing="0"/>
        <w:contextualSpacing w:val="0"/>
        <w:jc w:val="right"/>
      </w:pPr>
      <w:tblPr/>
      <w:tcPr>
        <w:vAlign w:val="center"/>
      </w:tcPr>
    </w:tblStylePr>
  </w:style>
  <w:style w:type="paragraph" w:styleId="FootnoteText">
    <w:name w:val="footnote text"/>
    <w:aliases w:val=" Char"/>
    <w:basedOn w:val="Normal"/>
    <w:link w:val="FootnoteTextChar"/>
    <w:uiPriority w:val="99"/>
    <w:rsid w:val="00CA666A"/>
    <w:pPr>
      <w:spacing w:after="0" w:line="240" w:lineRule="auto"/>
    </w:pPr>
    <w:rPr>
      <w:rFonts w:ascii="Arial" w:hAnsi="Arial"/>
      <w:sz w:val="20"/>
      <w:szCs w:val="20"/>
    </w:rPr>
  </w:style>
  <w:style w:type="character" w:customStyle="1" w:styleId="FootnoteTextChar">
    <w:name w:val="Footnote Text Char"/>
    <w:aliases w:val=" Char Char"/>
    <w:basedOn w:val="DefaultParagraphFont"/>
    <w:link w:val="FootnoteText"/>
    <w:uiPriority w:val="99"/>
    <w:rsid w:val="00CA666A"/>
    <w:rPr>
      <w:rFonts w:ascii="Arial" w:hAnsi="Arial"/>
      <w:sz w:val="20"/>
      <w:szCs w:val="20"/>
      <w:lang w:val="en-AU"/>
    </w:rPr>
  </w:style>
  <w:style w:type="character" w:customStyle="1" w:styleId="ListParagraphChar">
    <w:name w:val="List Paragraph Char"/>
    <w:basedOn w:val="DefaultParagraphFont"/>
    <w:link w:val="ListParagraph"/>
    <w:uiPriority w:val="34"/>
    <w:locked/>
    <w:rsid w:val="00CA666A"/>
    <w:rPr>
      <w:lang w:val="en-AU"/>
    </w:rPr>
  </w:style>
  <w:style w:type="character" w:customStyle="1" w:styleId="selectable">
    <w:name w:val="selectable"/>
    <w:basedOn w:val="DefaultParagraphFont"/>
    <w:rsid w:val="00CA666A"/>
  </w:style>
  <w:style w:type="character" w:customStyle="1" w:styleId="Heading1Char">
    <w:name w:val="Heading 1 Char"/>
    <w:basedOn w:val="DefaultParagraphFont"/>
    <w:link w:val="Heading1"/>
    <w:uiPriority w:val="9"/>
    <w:rsid w:val="00CA666A"/>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survey" TargetMode="External"/><Relationship Id="rId3" Type="http://schemas.openxmlformats.org/officeDocument/2006/relationships/settings" Target="settings.xml"/><Relationship Id="rId7" Type="http://schemas.openxmlformats.org/officeDocument/2006/relationships/hyperlink" Target="https://www.jstatsoft.org/article/view/v009i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Bevins</dc:creator>
  <cp:keywords/>
  <dc:description/>
  <cp:lastModifiedBy>Karina Bevins</cp:lastModifiedBy>
  <cp:revision>1</cp:revision>
  <dcterms:created xsi:type="dcterms:W3CDTF">2020-01-24T17:46:00Z</dcterms:created>
  <dcterms:modified xsi:type="dcterms:W3CDTF">2020-01-24T17:47:00Z</dcterms:modified>
</cp:coreProperties>
</file>