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Times New Roman" w:hAnsi="Times New Roman" w:cs="Times New Roman"/>
          <w:b/>
          <w:sz w:val="28"/>
          <w:szCs w:val="28"/>
          <w:lang w:val="en-GB"/>
        </w:rPr>
      </w:pPr>
      <w:r>
        <w:rPr>
          <w:rFonts w:hint="eastAsia" w:ascii="Times New Roman" w:hAnsi="Times New Roman" w:cs="Times New Roman"/>
          <w:b/>
          <w:sz w:val="28"/>
          <w:szCs w:val="28"/>
          <w:lang w:val="en-GB"/>
        </w:rPr>
        <w:t>Supplementary file</w:t>
      </w:r>
    </w:p>
    <w:p>
      <w:pPr>
        <w:spacing w:line="480" w:lineRule="auto"/>
        <w:rPr>
          <w:rFonts w:hint="eastAsia" w:ascii="Times New Roman" w:hAnsi="Times New Roman" w:cs="Times New Roman"/>
          <w:b/>
          <w:sz w:val="28"/>
          <w:szCs w:val="28"/>
          <w:lang w:val="en-GB"/>
        </w:rPr>
      </w:pPr>
    </w:p>
    <w:p>
      <w:pPr>
        <w:widowControl/>
        <w:spacing w:line="480" w:lineRule="auto"/>
        <w:rPr>
          <w:rFonts w:ascii="Times New Roman" w:hAnsi="Times New Roman" w:cs="Times New Roman"/>
          <w:sz w:val="24"/>
          <w:szCs w:val="24"/>
        </w:rPr>
      </w:pPr>
      <w:r>
        <w:rPr>
          <w:rFonts w:ascii="Times New Roman" w:hAnsi="Times New Roman" w:cs="Times New Roman"/>
          <w:sz w:val="24"/>
          <w:szCs w:val="24"/>
        </w:rPr>
        <w:t>Supplementary Figures</w:t>
      </w:r>
    </w:p>
    <w:p>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907155" cy="26733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920476" cy="2682231"/>
                    </a:xfrm>
                    <a:prstGeom prst="rect">
                      <a:avLst/>
                    </a:prstGeom>
                    <a:noFill/>
                  </pic:spPr>
                </pic:pic>
              </a:graphicData>
            </a:graphic>
          </wp:inline>
        </w:drawing>
      </w:r>
      <w:r>
        <w:rPr>
          <w:rFonts w:ascii="Times New Roman" w:hAnsi="Times New Roman" w:cs="Times New Roman"/>
          <w:sz w:val="24"/>
          <w:szCs w:val="24"/>
        </w:rPr>
        <w:drawing>
          <wp:inline distT="0" distB="0" distL="0" distR="0">
            <wp:extent cx="1281430" cy="269621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83040" cy="2699299"/>
                    </a:xfrm>
                    <a:prstGeom prst="rect">
                      <a:avLst/>
                    </a:prstGeom>
                    <a:noFill/>
                  </pic:spPr>
                </pic:pic>
              </a:graphicData>
            </a:graphic>
          </wp:inline>
        </w:drawing>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t>Figure S1. Quality control of dataset. (a) Q30 and data depth were calculated to filter low quality samples. (b) Distribution of alpha-diversities, Shannon index and Simpson index.</w:t>
      </w:r>
    </w:p>
    <w:p>
      <w:pPr>
        <w:widowControl/>
        <w:spacing w:line="480" w:lineRule="auto"/>
        <w:rPr>
          <w:rFonts w:ascii="Times New Roman" w:hAnsi="Times New Roman" w:cs="Times New Roman"/>
          <w:sz w:val="24"/>
          <w:szCs w:val="24"/>
        </w:rPr>
      </w:pPr>
    </w:p>
    <w:p>
      <w:pPr>
        <w:widowControl/>
        <w:spacing w:line="480" w:lineRule="auto"/>
        <w:rPr>
          <w:rFonts w:ascii="Times New Roman" w:hAnsi="Times New Roman" w:cs="Times New Roman"/>
          <w:sz w:val="24"/>
          <w:szCs w:val="24"/>
        </w:rPr>
      </w:pPr>
    </w:p>
    <w:p>
      <w:pPr>
        <w:widowControl/>
        <w:spacing w:line="480" w:lineRule="auto"/>
        <w:rPr>
          <w:rFonts w:ascii="Times New Roman" w:hAnsi="Times New Roman" w:cs="Times New Roman"/>
          <w:sz w:val="24"/>
          <w:szCs w:val="24"/>
        </w:rPr>
      </w:pPr>
    </w:p>
    <w:p>
      <w:pPr>
        <w:spacing w:line="480" w:lineRule="auto"/>
        <w:rPr>
          <w:rFonts w:ascii="Times New Roman" w:hAnsi="Times New Roman" w:cs="Times New Roman"/>
          <w:b/>
          <w:color w:val="FF0000"/>
          <w:sz w:val="24"/>
          <w:szCs w:val="24"/>
        </w:rPr>
      </w:pPr>
      <w:r>
        <w:rPr>
          <w:rFonts w:ascii="Times New Roman" w:hAnsi="Times New Roman" w:cs="Times New Roman"/>
          <w:sz w:val="24"/>
          <w:szCs w:val="24"/>
        </w:rPr>
        <w:drawing>
          <wp:inline distT="0" distB="0" distL="0" distR="0">
            <wp:extent cx="2724785" cy="186436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29335" cy="186746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310765" cy="18624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10974" cy="1862862"/>
                    </a:xfrm>
                    <a:prstGeom prst="rect">
                      <a:avLst/>
                    </a:prstGeom>
                    <a:noFill/>
                  </pic:spPr>
                </pic:pic>
              </a:graphicData>
            </a:graphic>
          </wp:inline>
        </w:drawing>
      </w:r>
    </w:p>
    <w:p>
      <w:pPr>
        <w:spacing w:line="480" w:lineRule="auto"/>
        <w:rPr>
          <w:rFonts w:ascii="Times New Roman" w:hAnsi="Times New Roman" w:cs="Times New Roman"/>
          <w:sz w:val="24"/>
          <w:szCs w:val="24"/>
        </w:rPr>
      </w:pPr>
      <w:r>
        <w:rPr>
          <w:rFonts w:ascii="Times New Roman" w:hAnsi="Times New Roman" w:cs="Times New Roman"/>
          <w:sz w:val="24"/>
          <w:szCs w:val="24"/>
        </w:rPr>
        <w:t>Figure S2. Metagenomic data summary and traits of dataset in genus and phylum level. Three enterotypes were identified in phylum level including Firmicutes, Bacteroidetes, and Proteobacteria. Most abundant genera were Bacteroides, Klebsiella, and Prevotella.</w:t>
      </w:r>
    </w:p>
    <w:p>
      <w:pPr>
        <w:widowControl/>
        <w:spacing w:line="480" w:lineRule="auto"/>
        <w:rPr>
          <w:rFonts w:ascii="Times New Roman" w:hAnsi="Times New Roman" w:cs="Times New Roman"/>
          <w:sz w:val="24"/>
          <w:szCs w:val="24"/>
        </w:rPr>
      </w:pPr>
    </w:p>
    <w:p>
      <w:pPr>
        <w:widowControl/>
        <w:spacing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357495" cy="2221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62339" cy="2223720"/>
                    </a:xfrm>
                    <a:prstGeom prst="rect">
                      <a:avLst/>
                    </a:prstGeom>
                    <a:noFill/>
                  </pic:spPr>
                </pic:pic>
              </a:graphicData>
            </a:graphic>
          </wp:inline>
        </w:drawing>
      </w:r>
    </w:p>
    <w:p>
      <w:pPr>
        <w:widowControl/>
        <w:spacing w:line="480" w:lineRule="auto"/>
        <w:rPr>
          <w:rFonts w:ascii="Times New Roman" w:hAnsi="Times New Roman" w:cs="Times New Roman"/>
          <w:sz w:val="24"/>
          <w:szCs w:val="24"/>
        </w:rPr>
      </w:pPr>
      <w:r>
        <w:rPr>
          <w:rFonts w:ascii="Times New Roman" w:hAnsi="Times New Roman" w:cs="Times New Roman"/>
          <w:sz w:val="24"/>
          <w:szCs w:val="24"/>
        </w:rPr>
        <w:t>Figure S3. Functional annotation of gut microbiome in TIS individuals. Main SEED (a) and EGGNOG (b) functions were enriched in carbohydrates and amino acid metabolism.</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480050" cy="2719070"/>
            <wp:effectExtent l="0" t="0" r="635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2389" cy="2720493"/>
                    </a:xfrm>
                    <a:prstGeom prst="rect">
                      <a:avLst/>
                    </a:prstGeom>
                    <a:noFill/>
                  </pic:spPr>
                </pic:pic>
              </a:graphicData>
            </a:graphic>
          </wp:inline>
        </w:drawing>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rPr>
        <w:t>S4</w:t>
      </w:r>
      <w:r>
        <w:rPr>
          <w:rFonts w:ascii="Times New Roman" w:hAnsi="Times New Roman" w:cs="Times New Roman"/>
          <w:sz w:val="24"/>
          <w:szCs w:val="24"/>
        </w:rPr>
        <w:t>. Association between characteristics and in metagenomic data. 221 Genera were associated with 142 factors including 22 sociodemographic and exposures (3 demography, 4 life style, 3 physical measurement results, 2 socio-economic, 10 diet habits), 16 disease status, 66 physiological phenotypes (4 arterial stiffness, 12 blood biochemistry, 6 blood pressure, 6 bone mass density, 30 carotid ultrason</w:t>
      </w:r>
      <w:r>
        <w:rPr>
          <w:rFonts w:ascii="Times New Roman" w:hAnsi="Times New Roman" w:cs="Times New Roman"/>
        </w:rPr>
        <w:t>ograph</w:t>
      </w:r>
      <w:r>
        <w:rPr>
          <w:rFonts w:ascii="Times New Roman" w:hAnsi="Times New Roman" w:cs="Times New Roman"/>
          <w:sz w:val="24"/>
          <w:szCs w:val="24"/>
        </w:rPr>
        <w:t>ic, 2 cognitive function, 6 electrocardiography features), and 38 metabolite features.</w:t>
      </w:r>
    </w:p>
    <w:p>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pPr>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778250" cy="280098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78961" cy="2801643"/>
                    </a:xfrm>
                    <a:prstGeom prst="rect">
                      <a:avLst/>
                    </a:prstGeom>
                    <a:noFill/>
                    <a:ln>
                      <a:noFill/>
                    </a:ln>
                    <a:effectLst/>
                  </pic:spPr>
                </pic:pic>
              </a:graphicData>
            </a:graphic>
          </wp:inline>
        </w:drawing>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rPr>
        <w:t>S5</w:t>
      </w:r>
      <w:r>
        <w:rPr>
          <w:rFonts w:ascii="Times New Roman" w:hAnsi="Times New Roman" w:cs="Times New Roman"/>
          <w:sz w:val="24"/>
          <w:szCs w:val="24"/>
        </w:rPr>
        <w:t>. Alpha diversity explained by gut microbiome in TIS individuals. Functional principal component analysis (FPCA) was applied to identify all 14 categorical variables in association with individual alpha-diversity measurements (Simpson’s index and Shannon index). Blood chemistry, arterial stiffness, bone mass density and carotid ultrasonographic measurements significantly explained variation of phylum-leveled alpha-diversity.</w:t>
      </w:r>
    </w:p>
    <w:p>
      <w:pPr>
        <w:widowControl/>
        <w:spacing w:line="480" w:lineRule="auto"/>
        <w:rPr>
          <w:rFonts w:ascii="Times New Roman" w:hAnsi="Times New Roman" w:cs="Times New Roman"/>
          <w:sz w:val="24"/>
          <w:szCs w:val="24"/>
        </w:rPr>
      </w:pPr>
      <w:r>
        <w:rPr>
          <w:rFonts w:ascii="Times New Roman" w:hAnsi="Times New Roman" w:cs="Times New Roman"/>
          <w:sz w:val="24"/>
          <w:szCs w:val="24"/>
        </w:rPr>
        <w:br w:type="page"/>
      </w:r>
    </w:p>
    <w:p>
      <w:pPr>
        <w:spacing w:line="480" w:lineRule="auto"/>
        <w:rPr>
          <w:rFonts w:ascii="Times New Roman" w:hAnsi="Times New Roman" w:cs="Times New Roman"/>
          <w:sz w:val="24"/>
          <w:szCs w:val="24"/>
        </w:rPr>
      </w:pPr>
    </w:p>
    <w:p>
      <w:pPr>
        <w:widowControl/>
        <w:spacing w:line="480" w:lineRule="auto"/>
        <w:rPr>
          <w:rFonts w:ascii="Times New Roman" w:hAnsi="Times New Roman" w:cs="Times New Roman"/>
          <w:sz w:val="24"/>
          <w:szCs w:val="24"/>
        </w:rPr>
      </w:pPr>
      <w:r>
        <w:rPr>
          <w:rFonts w:ascii="Times New Roman" w:hAnsi="Times New Roman" w:cs="Times New Roman"/>
        </w:rPr>
        <w:object>
          <v:shape id="_x0000_i1028" o:spt="75" type="#_x0000_t75" style="height:219pt;width:415pt;" o:ole="t" filled="f" o:preferrelative="t" stroked="f" coordsize="21600,21600">
            <v:path/>
            <v:fill on="f" focussize="0,0"/>
            <v:stroke on="f" joinstyle="miter"/>
            <v:imagedata r:id="rId12" o:title=""/>
            <o:lock v:ext="edit" aspectratio="t"/>
            <w10:wrap type="none"/>
            <w10:anchorlock/>
          </v:shape>
          <o:OLEObject Type="Embed" ProgID="Visio.Drawing.15" ShapeID="_x0000_i1028" DrawAspect="Content" ObjectID="_1468075725" r:id="rId11">
            <o:LockedField>false</o:LockedField>
          </o:OLEObject>
        </w:object>
      </w:r>
      <w:r>
        <w:rPr>
          <w:rFonts w:ascii="Times New Roman" w:hAnsi="Times New Roman" w:cs="Times New Roman"/>
          <w:sz w:val="24"/>
          <w:szCs w:val="24"/>
        </w:rPr>
        <w:t xml:space="preserve"> Figure </w:t>
      </w:r>
      <w:r>
        <w:rPr>
          <w:rFonts w:hint="eastAsia" w:ascii="Times New Roman" w:hAnsi="Times New Roman" w:cs="Times New Roman"/>
          <w:sz w:val="24"/>
          <w:szCs w:val="24"/>
        </w:rPr>
        <w:t>S6</w:t>
      </w:r>
      <w:r>
        <w:rPr>
          <w:rFonts w:ascii="Times New Roman" w:hAnsi="Times New Roman" w:cs="Times New Roman"/>
          <w:sz w:val="24"/>
          <w:szCs w:val="24"/>
        </w:rPr>
        <w:t>. Beta-diversity associated variables.</w:t>
      </w:r>
      <w:r>
        <w:rPr>
          <w:rFonts w:ascii="Times New Roman" w:hAnsi="Times New Roman" w:cs="Times New Roman"/>
        </w:rPr>
        <w:t xml:space="preserve"> </w:t>
      </w:r>
      <w:r>
        <w:rPr>
          <w:rFonts w:ascii="Times New Roman" w:hAnsi="Times New Roman" w:cs="Times New Roman"/>
          <w:sz w:val="24"/>
          <w:szCs w:val="24"/>
        </w:rPr>
        <w:t xml:space="preserve">Categorical phenotypes such as heart function, disease status, demographic data, social economic status and arterial stiffness were found strongly linked to individual gut distances. EKG indicators such as RV5, cognitive assessment including MoCA, and socio-demographic factors like total income were especially responsible for the gut beta-diversity. </w:t>
      </w:r>
      <w:r>
        <w:rPr>
          <w:rFonts w:ascii="Times New Roman" w:hAnsi="Times New Roman" w:cs="Times New Roman"/>
          <w:sz w:val="24"/>
          <w:szCs w:val="24"/>
        </w:rPr>
        <w:br w:type="page"/>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object>
          <v:shape id="_x0000_i1029" o:spt="75" type="#_x0000_t75" style="height:243pt;width:415pt;" o:ole="t" filled="f" o:preferrelative="t" stroked="f" coordsize="21600,21600">
            <v:path/>
            <v:fill on="f" focussize="0,0"/>
            <v:stroke on="f" joinstyle="miter"/>
            <v:imagedata r:id="rId14" o:title=""/>
            <o:lock v:ext="edit" aspectratio="t"/>
            <w10:wrap type="none"/>
            <w10:anchorlock/>
          </v:shape>
          <o:OLEObject Type="Embed" ProgID="Visio.Drawing.15" ShapeID="_x0000_i1029" DrawAspect="Content" ObjectID="_1468075726" r:id="rId13">
            <o:LockedField>false</o:LockedField>
          </o:OLEObject>
        </w:object>
      </w:r>
      <w:r>
        <w:rPr>
          <w:rFonts w:ascii="Times New Roman" w:hAnsi="Times New Roman" w:cs="Times New Roman"/>
          <w:sz w:val="24"/>
          <w:szCs w:val="24"/>
        </w:rPr>
        <w:t>Figure S</w:t>
      </w:r>
      <w:r>
        <w:rPr>
          <w:rFonts w:hint="eastAsia" w:ascii="Times New Roman" w:hAnsi="Times New Roman" w:cs="Times New Roman"/>
          <w:sz w:val="24"/>
          <w:szCs w:val="24"/>
        </w:rPr>
        <w:t>7</w:t>
      </w:r>
      <w:r>
        <w:rPr>
          <w:rFonts w:ascii="Times New Roman" w:hAnsi="Times New Roman" w:cs="Times New Roman"/>
          <w:sz w:val="24"/>
          <w:szCs w:val="24"/>
        </w:rPr>
        <w:t xml:space="preserve">. The edge counts </w:t>
      </w:r>
      <w:bookmarkStart w:id="0" w:name="OLE_LINK12"/>
      <w:r>
        <w:rPr>
          <w:rFonts w:ascii="Times New Roman" w:hAnsi="Times New Roman" w:cs="Times New Roman"/>
          <w:sz w:val="24"/>
          <w:szCs w:val="24"/>
        </w:rPr>
        <w:t>(a)</w:t>
      </w:r>
      <w:bookmarkEnd w:id="0"/>
      <w:r>
        <w:rPr>
          <w:rFonts w:hint="eastAsia" w:ascii="Times New Roman" w:hAnsi="Times New Roman" w:cs="Times New Roman"/>
          <w:sz w:val="24"/>
          <w:szCs w:val="24"/>
        </w:rPr>
        <w:t xml:space="preserve"> and</w:t>
      </w:r>
      <w:r>
        <w:rPr>
          <w:rFonts w:ascii="Times New Roman" w:hAnsi="Times New Roman" w:cs="Times New Roman"/>
          <w:sz w:val="24"/>
          <w:szCs w:val="24"/>
        </w:rPr>
        <w:t xml:space="preserve"> eccentricity (b) were calculated in the network to obtain the breadth and depth each variable category. Demography, carotid ultrasonography, arterial stiffness, blood biochemistry and physical examination measurements were found among the most influential or influenced categories in the network.</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4928235" cy="3599815"/>
            <wp:effectExtent l="0" t="0" r="5715" b="63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28669" cy="3600000"/>
                    </a:xfrm>
                    <a:prstGeom prst="rect">
                      <a:avLst/>
                    </a:prstGeom>
                    <a:noFill/>
                    <a:ln>
                      <a:noFill/>
                    </a:ln>
                    <a:effectLst/>
                  </pic:spPr>
                </pic:pic>
              </a:graphicData>
            </a:graphic>
          </wp:inline>
        </w:drawing>
      </w:r>
    </w:p>
    <w:p>
      <w:pPr>
        <w:spacing w:line="480" w:lineRule="auto"/>
        <w:rPr>
          <w:rFonts w:ascii="Times New Roman" w:hAnsi="Times New Roman" w:cs="Times New Roman"/>
          <w:sz w:val="24"/>
          <w:szCs w:val="24"/>
        </w:rPr>
      </w:pPr>
      <w:r>
        <w:rPr>
          <w:rFonts w:ascii="Times New Roman" w:hAnsi="Times New Roman" w:cs="Times New Roman"/>
          <w:sz w:val="24"/>
          <w:szCs w:val="24"/>
        </w:rPr>
        <w:t>Figure S</w:t>
      </w:r>
      <w:r>
        <w:rPr>
          <w:rFonts w:hint="eastAsia" w:ascii="Times New Roman" w:hAnsi="Times New Roman" w:cs="Times New Roman"/>
          <w:sz w:val="24"/>
          <w:szCs w:val="24"/>
        </w:rPr>
        <w:t>8</w:t>
      </w:r>
      <w:r>
        <w:rPr>
          <w:rFonts w:ascii="Times New Roman" w:hAnsi="Times New Roman" w:cs="Times New Roman"/>
          <w:sz w:val="24"/>
          <w:szCs w:val="24"/>
        </w:rPr>
        <w:t>. Mediation analysis of metabolomics. Mediation analysis the effect of the microbiota on carotid IMT index was mediated by metabolomics, including Choline, phosphocholine and amino acids.</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pPr>
        <w:widowControl/>
        <w:spacing w:line="480" w:lineRule="auto"/>
        <w:rPr>
          <w:rFonts w:ascii="Times New Roman" w:hAnsi="Times New Roman" w:cs="Times New Roman"/>
          <w:sz w:val="24"/>
          <w:szCs w:val="24"/>
        </w:rPr>
      </w:pPr>
      <w:r>
        <w:rPr>
          <w:rFonts w:ascii="Times New Roman" w:hAnsi="Times New Roman" w:cs="Times New Roman"/>
          <w:sz w:val="24"/>
          <w:szCs w:val="24"/>
        </w:rPr>
        <w:t>Supplementary Tables</w:t>
      </w:r>
    </w:p>
    <w:p>
      <w:pPr>
        <w:widowControl/>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ascii="Times New Roman" w:hAnsi="Times New Roman" w:cs="Times New Roman"/>
          <w:sz w:val="24"/>
          <w:szCs w:val="24"/>
        </w:rPr>
        <w:t>Table S1. Variables in TIS cohort.</w:t>
      </w:r>
    </w:p>
    <w:p>
      <w:pPr>
        <w:spacing w:line="480" w:lineRule="auto"/>
        <w:rPr>
          <w:rFonts w:ascii="Times New Roman" w:hAnsi="Times New Roman" w:cs="Times New Roman"/>
          <w:sz w:val="24"/>
          <w:szCs w:val="24"/>
        </w:rPr>
      </w:pPr>
      <w:r>
        <w:rPr>
          <w:rFonts w:ascii="Times New Roman" w:hAnsi="Times New Roman" w:cs="Times New Roman"/>
          <w:sz w:val="24"/>
          <w:szCs w:val="24"/>
        </w:rPr>
        <w:t>Table S2. Association analysis of variables.</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S3. Mediation </w:t>
      </w:r>
      <w:r>
        <w:rPr>
          <w:rFonts w:hint="eastAsia" w:ascii="Times New Roman" w:hAnsi="Times New Roman" w:cs="Times New Roman"/>
          <w:sz w:val="24"/>
          <w:szCs w:val="24"/>
        </w:rPr>
        <w:t xml:space="preserve">proportion and </w:t>
      </w:r>
      <w:r>
        <w:rPr>
          <w:rFonts w:ascii="Times New Roman" w:hAnsi="Times New Roman" w:cs="Times New Roman"/>
          <w:sz w:val="24"/>
          <w:szCs w:val="24"/>
        </w:rPr>
        <w:t>coefficient of lifestyle, microbiota and carotid ultrasonography.</w:t>
      </w:r>
      <w:bookmarkStart w:id="1" w:name="_GoBack"/>
      <w:bookmarkEnd w:id="1"/>
    </w:p>
    <w:p>
      <w:pPr>
        <w:spacing w:line="480" w:lineRule="auto"/>
        <w:rPr>
          <w:rFonts w:ascii="Times New Roman" w:hAnsi="Times New Roman" w:cs="Times New Roman"/>
          <w:sz w:val="24"/>
          <w:szCs w:val="24"/>
        </w:rPr>
      </w:pPr>
      <w:r>
        <w:rPr>
          <w:rFonts w:ascii="Times New Roman" w:hAnsi="Times New Roman" w:cs="Times New Roman"/>
          <w:sz w:val="24"/>
          <w:szCs w:val="24"/>
        </w:rPr>
        <w:t>Table S</w:t>
      </w:r>
      <w:r>
        <w:rPr>
          <w:rFonts w:hint="eastAsia" w:ascii="Times New Roman" w:hAnsi="Times New Roman" w:cs="Times New Roman"/>
          <w:sz w:val="24"/>
          <w:szCs w:val="24"/>
        </w:rPr>
        <w:t>4.</w:t>
      </w:r>
      <w:r>
        <w:rPr>
          <w:rFonts w:ascii="Times New Roman" w:hAnsi="Times New Roman" w:cs="Times New Roman"/>
          <w:sz w:val="24"/>
          <w:szCs w:val="24"/>
        </w:rPr>
        <w:t xml:space="preserve"> Attribute of 142 variables and 14 categories.</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ut&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5wvvt9pnww02ted2w9vtefyvsrzx9rr9trp&quot;&gt;569MetagenomeManuscript&lt;record-ids&gt;&lt;item&gt;56&lt;/item&gt;&lt;item&gt;138&lt;/item&gt;&lt;item&gt;194&lt;/item&gt;&lt;item&gt;203&lt;/item&gt;&lt;item&gt;204&lt;/item&gt;&lt;item&gt;205&lt;/item&gt;&lt;item&gt;206&lt;/item&gt;&lt;item&gt;207&lt;/item&gt;&lt;item&gt;208&lt;/item&gt;&lt;item&gt;209&lt;/item&gt;&lt;item&gt;210&lt;/item&gt;&lt;item&gt;217&lt;/item&gt;&lt;item&gt;218&lt;/item&gt;&lt;/record-ids&gt;&lt;/item&gt;&lt;/Libraries&gt;"/>
  </w:docVars>
  <w:rsids>
    <w:rsidRoot w:val="00DF34E0"/>
    <w:rsid w:val="0000170A"/>
    <w:rsid w:val="00002CB7"/>
    <w:rsid w:val="0000471C"/>
    <w:rsid w:val="00006C14"/>
    <w:rsid w:val="000107A2"/>
    <w:rsid w:val="00012CEB"/>
    <w:rsid w:val="000132D3"/>
    <w:rsid w:val="000159B0"/>
    <w:rsid w:val="00015A26"/>
    <w:rsid w:val="000174D3"/>
    <w:rsid w:val="00017A52"/>
    <w:rsid w:val="000253E2"/>
    <w:rsid w:val="00025EA9"/>
    <w:rsid w:val="0003063B"/>
    <w:rsid w:val="00031906"/>
    <w:rsid w:val="000348C4"/>
    <w:rsid w:val="000364EB"/>
    <w:rsid w:val="000408CF"/>
    <w:rsid w:val="000434F6"/>
    <w:rsid w:val="00043501"/>
    <w:rsid w:val="00044BEC"/>
    <w:rsid w:val="00045407"/>
    <w:rsid w:val="00047E18"/>
    <w:rsid w:val="00047F43"/>
    <w:rsid w:val="000500A5"/>
    <w:rsid w:val="00051087"/>
    <w:rsid w:val="000541FC"/>
    <w:rsid w:val="000569AC"/>
    <w:rsid w:val="0006167F"/>
    <w:rsid w:val="00062822"/>
    <w:rsid w:val="00065086"/>
    <w:rsid w:val="00066E44"/>
    <w:rsid w:val="00073E79"/>
    <w:rsid w:val="00074783"/>
    <w:rsid w:val="0007756C"/>
    <w:rsid w:val="0007774D"/>
    <w:rsid w:val="00084340"/>
    <w:rsid w:val="000855DD"/>
    <w:rsid w:val="000867E5"/>
    <w:rsid w:val="000912C5"/>
    <w:rsid w:val="00095B63"/>
    <w:rsid w:val="00095B8E"/>
    <w:rsid w:val="0009635B"/>
    <w:rsid w:val="000A3375"/>
    <w:rsid w:val="000A4138"/>
    <w:rsid w:val="000A4293"/>
    <w:rsid w:val="000A79A7"/>
    <w:rsid w:val="000B0084"/>
    <w:rsid w:val="000B1668"/>
    <w:rsid w:val="000B382A"/>
    <w:rsid w:val="000B6400"/>
    <w:rsid w:val="000B697F"/>
    <w:rsid w:val="000C3888"/>
    <w:rsid w:val="000C5965"/>
    <w:rsid w:val="000C75C7"/>
    <w:rsid w:val="000D1867"/>
    <w:rsid w:val="000D1C31"/>
    <w:rsid w:val="000D5655"/>
    <w:rsid w:val="000D7598"/>
    <w:rsid w:val="000D7BDF"/>
    <w:rsid w:val="000D7FA3"/>
    <w:rsid w:val="000E08A2"/>
    <w:rsid w:val="000E2628"/>
    <w:rsid w:val="000E268C"/>
    <w:rsid w:val="000E2975"/>
    <w:rsid w:val="000E3504"/>
    <w:rsid w:val="000E5CAB"/>
    <w:rsid w:val="000E6C7C"/>
    <w:rsid w:val="000F1E81"/>
    <w:rsid w:val="000F405B"/>
    <w:rsid w:val="000F65FD"/>
    <w:rsid w:val="00100632"/>
    <w:rsid w:val="00104917"/>
    <w:rsid w:val="001122BA"/>
    <w:rsid w:val="0011292F"/>
    <w:rsid w:val="0011328E"/>
    <w:rsid w:val="00113E52"/>
    <w:rsid w:val="00115701"/>
    <w:rsid w:val="0011649C"/>
    <w:rsid w:val="0012173C"/>
    <w:rsid w:val="00121E88"/>
    <w:rsid w:val="00124C6D"/>
    <w:rsid w:val="00124DA9"/>
    <w:rsid w:val="00126E7B"/>
    <w:rsid w:val="00131600"/>
    <w:rsid w:val="00131E94"/>
    <w:rsid w:val="00133C7C"/>
    <w:rsid w:val="001377A7"/>
    <w:rsid w:val="00137FCC"/>
    <w:rsid w:val="00141633"/>
    <w:rsid w:val="00143590"/>
    <w:rsid w:val="00144855"/>
    <w:rsid w:val="001451E1"/>
    <w:rsid w:val="001457E0"/>
    <w:rsid w:val="00145872"/>
    <w:rsid w:val="00147194"/>
    <w:rsid w:val="00147AE3"/>
    <w:rsid w:val="00151E48"/>
    <w:rsid w:val="001521A1"/>
    <w:rsid w:val="00152757"/>
    <w:rsid w:val="00152F60"/>
    <w:rsid w:val="0015385D"/>
    <w:rsid w:val="00154800"/>
    <w:rsid w:val="00155D39"/>
    <w:rsid w:val="00156B7A"/>
    <w:rsid w:val="00161809"/>
    <w:rsid w:val="00165B36"/>
    <w:rsid w:val="00175842"/>
    <w:rsid w:val="00176FEC"/>
    <w:rsid w:val="00177857"/>
    <w:rsid w:val="00177927"/>
    <w:rsid w:val="00182F08"/>
    <w:rsid w:val="001838EA"/>
    <w:rsid w:val="00183D21"/>
    <w:rsid w:val="00186449"/>
    <w:rsid w:val="00192EAF"/>
    <w:rsid w:val="00194990"/>
    <w:rsid w:val="00195FED"/>
    <w:rsid w:val="001A025E"/>
    <w:rsid w:val="001A2CA6"/>
    <w:rsid w:val="001A446F"/>
    <w:rsid w:val="001A6E3A"/>
    <w:rsid w:val="001B4271"/>
    <w:rsid w:val="001B4FBC"/>
    <w:rsid w:val="001B5E98"/>
    <w:rsid w:val="001B6774"/>
    <w:rsid w:val="001B6849"/>
    <w:rsid w:val="001B70DE"/>
    <w:rsid w:val="001C14C3"/>
    <w:rsid w:val="001C2DFD"/>
    <w:rsid w:val="001C2ECF"/>
    <w:rsid w:val="001C635E"/>
    <w:rsid w:val="001C78BF"/>
    <w:rsid w:val="001D065E"/>
    <w:rsid w:val="001D2867"/>
    <w:rsid w:val="001D2F99"/>
    <w:rsid w:val="001D6A16"/>
    <w:rsid w:val="001D6DD6"/>
    <w:rsid w:val="001E0050"/>
    <w:rsid w:val="001E2C2E"/>
    <w:rsid w:val="001E3835"/>
    <w:rsid w:val="001E411D"/>
    <w:rsid w:val="001E5EC4"/>
    <w:rsid w:val="001E7F6D"/>
    <w:rsid w:val="001F032E"/>
    <w:rsid w:val="001F0BE3"/>
    <w:rsid w:val="001F32BD"/>
    <w:rsid w:val="0020129F"/>
    <w:rsid w:val="00203578"/>
    <w:rsid w:val="002036E9"/>
    <w:rsid w:val="002048A5"/>
    <w:rsid w:val="002072D0"/>
    <w:rsid w:val="00207A35"/>
    <w:rsid w:val="002138AA"/>
    <w:rsid w:val="00213CC3"/>
    <w:rsid w:val="00220ABE"/>
    <w:rsid w:val="0022385E"/>
    <w:rsid w:val="00223C18"/>
    <w:rsid w:val="00226BA4"/>
    <w:rsid w:val="002271F7"/>
    <w:rsid w:val="0023067B"/>
    <w:rsid w:val="0023144D"/>
    <w:rsid w:val="00234F38"/>
    <w:rsid w:val="00241607"/>
    <w:rsid w:val="0024287E"/>
    <w:rsid w:val="0024360D"/>
    <w:rsid w:val="0024415E"/>
    <w:rsid w:val="00244754"/>
    <w:rsid w:val="00245FC5"/>
    <w:rsid w:val="0024619F"/>
    <w:rsid w:val="0025234D"/>
    <w:rsid w:val="002551DD"/>
    <w:rsid w:val="00255DEA"/>
    <w:rsid w:val="00256B81"/>
    <w:rsid w:val="00260086"/>
    <w:rsid w:val="00260B2A"/>
    <w:rsid w:val="00262C2B"/>
    <w:rsid w:val="00265273"/>
    <w:rsid w:val="00265F58"/>
    <w:rsid w:val="00272639"/>
    <w:rsid w:val="00272DEA"/>
    <w:rsid w:val="00272FA7"/>
    <w:rsid w:val="00274CF5"/>
    <w:rsid w:val="00275691"/>
    <w:rsid w:val="002812D9"/>
    <w:rsid w:val="00283880"/>
    <w:rsid w:val="00285C52"/>
    <w:rsid w:val="00291238"/>
    <w:rsid w:val="00292C29"/>
    <w:rsid w:val="00295329"/>
    <w:rsid w:val="002A0DB6"/>
    <w:rsid w:val="002A1C2E"/>
    <w:rsid w:val="002A5DD8"/>
    <w:rsid w:val="002A69B7"/>
    <w:rsid w:val="002A713C"/>
    <w:rsid w:val="002A7525"/>
    <w:rsid w:val="002B11B4"/>
    <w:rsid w:val="002B527F"/>
    <w:rsid w:val="002B548F"/>
    <w:rsid w:val="002B5D9C"/>
    <w:rsid w:val="002B5F38"/>
    <w:rsid w:val="002B79BF"/>
    <w:rsid w:val="002C07B2"/>
    <w:rsid w:val="002C7E87"/>
    <w:rsid w:val="002D1C91"/>
    <w:rsid w:val="002D24C0"/>
    <w:rsid w:val="002D4FEB"/>
    <w:rsid w:val="002D54AC"/>
    <w:rsid w:val="002E2B66"/>
    <w:rsid w:val="002E33C1"/>
    <w:rsid w:val="002E786D"/>
    <w:rsid w:val="002F3EEF"/>
    <w:rsid w:val="002F6A49"/>
    <w:rsid w:val="0030491B"/>
    <w:rsid w:val="0030570E"/>
    <w:rsid w:val="00305DD2"/>
    <w:rsid w:val="003065BD"/>
    <w:rsid w:val="003146E3"/>
    <w:rsid w:val="00323C1C"/>
    <w:rsid w:val="003259F6"/>
    <w:rsid w:val="00325EC3"/>
    <w:rsid w:val="0033349F"/>
    <w:rsid w:val="00334CD6"/>
    <w:rsid w:val="0034022A"/>
    <w:rsid w:val="003445B2"/>
    <w:rsid w:val="00350505"/>
    <w:rsid w:val="00353B50"/>
    <w:rsid w:val="00355E8D"/>
    <w:rsid w:val="0036088F"/>
    <w:rsid w:val="00361C48"/>
    <w:rsid w:val="0036307B"/>
    <w:rsid w:val="00363EDA"/>
    <w:rsid w:val="00364863"/>
    <w:rsid w:val="00366575"/>
    <w:rsid w:val="00370D63"/>
    <w:rsid w:val="00371EF9"/>
    <w:rsid w:val="00375770"/>
    <w:rsid w:val="00375D53"/>
    <w:rsid w:val="003768B0"/>
    <w:rsid w:val="00376B98"/>
    <w:rsid w:val="00377F62"/>
    <w:rsid w:val="00383E3F"/>
    <w:rsid w:val="00383E44"/>
    <w:rsid w:val="00384DBA"/>
    <w:rsid w:val="00390A35"/>
    <w:rsid w:val="00393DF3"/>
    <w:rsid w:val="00393F5B"/>
    <w:rsid w:val="003A0789"/>
    <w:rsid w:val="003A51AF"/>
    <w:rsid w:val="003A668C"/>
    <w:rsid w:val="003A6FE8"/>
    <w:rsid w:val="003A7F76"/>
    <w:rsid w:val="003B516F"/>
    <w:rsid w:val="003B7B5C"/>
    <w:rsid w:val="003C004F"/>
    <w:rsid w:val="003C5B71"/>
    <w:rsid w:val="003C7548"/>
    <w:rsid w:val="003C7A25"/>
    <w:rsid w:val="003D0625"/>
    <w:rsid w:val="003D0DD0"/>
    <w:rsid w:val="003D1789"/>
    <w:rsid w:val="003D4A1E"/>
    <w:rsid w:val="003E1CDD"/>
    <w:rsid w:val="003E48B6"/>
    <w:rsid w:val="003E4D21"/>
    <w:rsid w:val="003E5FE0"/>
    <w:rsid w:val="003E6818"/>
    <w:rsid w:val="003F179B"/>
    <w:rsid w:val="003F5D52"/>
    <w:rsid w:val="00406D08"/>
    <w:rsid w:val="0040700C"/>
    <w:rsid w:val="00410614"/>
    <w:rsid w:val="00413762"/>
    <w:rsid w:val="00417E91"/>
    <w:rsid w:val="00420CB5"/>
    <w:rsid w:val="00421AF2"/>
    <w:rsid w:val="00421BC0"/>
    <w:rsid w:val="00422D9C"/>
    <w:rsid w:val="004232E1"/>
    <w:rsid w:val="0042400F"/>
    <w:rsid w:val="004248C4"/>
    <w:rsid w:val="0043240B"/>
    <w:rsid w:val="004332F6"/>
    <w:rsid w:val="004337E8"/>
    <w:rsid w:val="0043724A"/>
    <w:rsid w:val="0043730A"/>
    <w:rsid w:val="004404AB"/>
    <w:rsid w:val="004410C2"/>
    <w:rsid w:val="00441FEE"/>
    <w:rsid w:val="004429A4"/>
    <w:rsid w:val="00443A82"/>
    <w:rsid w:val="00443E49"/>
    <w:rsid w:val="00445660"/>
    <w:rsid w:val="00445A72"/>
    <w:rsid w:val="00450CCC"/>
    <w:rsid w:val="00452368"/>
    <w:rsid w:val="00453462"/>
    <w:rsid w:val="0045584C"/>
    <w:rsid w:val="00455C4D"/>
    <w:rsid w:val="00456072"/>
    <w:rsid w:val="00456FAC"/>
    <w:rsid w:val="00460C23"/>
    <w:rsid w:val="00461FF3"/>
    <w:rsid w:val="0046427C"/>
    <w:rsid w:val="004675F3"/>
    <w:rsid w:val="0047249C"/>
    <w:rsid w:val="00473E31"/>
    <w:rsid w:val="0047432B"/>
    <w:rsid w:val="00474727"/>
    <w:rsid w:val="00475090"/>
    <w:rsid w:val="00477ADF"/>
    <w:rsid w:val="00480190"/>
    <w:rsid w:val="00481E0D"/>
    <w:rsid w:val="00484DB2"/>
    <w:rsid w:val="0049149A"/>
    <w:rsid w:val="00493880"/>
    <w:rsid w:val="00493D2F"/>
    <w:rsid w:val="0049458B"/>
    <w:rsid w:val="004964ED"/>
    <w:rsid w:val="004966D4"/>
    <w:rsid w:val="004A1106"/>
    <w:rsid w:val="004A6472"/>
    <w:rsid w:val="004B3A42"/>
    <w:rsid w:val="004B6445"/>
    <w:rsid w:val="004B6711"/>
    <w:rsid w:val="004B6873"/>
    <w:rsid w:val="004B69C2"/>
    <w:rsid w:val="004C1A87"/>
    <w:rsid w:val="004C1E0A"/>
    <w:rsid w:val="004C2170"/>
    <w:rsid w:val="004C4537"/>
    <w:rsid w:val="004D1182"/>
    <w:rsid w:val="004D1F0A"/>
    <w:rsid w:val="004D6257"/>
    <w:rsid w:val="004D756E"/>
    <w:rsid w:val="004D7917"/>
    <w:rsid w:val="004E57CA"/>
    <w:rsid w:val="004E6937"/>
    <w:rsid w:val="004E78F9"/>
    <w:rsid w:val="00506CB1"/>
    <w:rsid w:val="00506E10"/>
    <w:rsid w:val="005105CF"/>
    <w:rsid w:val="00510AB4"/>
    <w:rsid w:val="00513765"/>
    <w:rsid w:val="005158DC"/>
    <w:rsid w:val="005171C3"/>
    <w:rsid w:val="0052168B"/>
    <w:rsid w:val="00524009"/>
    <w:rsid w:val="00533FAB"/>
    <w:rsid w:val="0053581C"/>
    <w:rsid w:val="00537DFB"/>
    <w:rsid w:val="00537FB9"/>
    <w:rsid w:val="005403E1"/>
    <w:rsid w:val="00540CEE"/>
    <w:rsid w:val="0054106E"/>
    <w:rsid w:val="00541647"/>
    <w:rsid w:val="00544DC4"/>
    <w:rsid w:val="00546759"/>
    <w:rsid w:val="005508E5"/>
    <w:rsid w:val="005553D5"/>
    <w:rsid w:val="0056296E"/>
    <w:rsid w:val="00562FE3"/>
    <w:rsid w:val="005658D8"/>
    <w:rsid w:val="0056596C"/>
    <w:rsid w:val="00565C9A"/>
    <w:rsid w:val="005755C2"/>
    <w:rsid w:val="00575C78"/>
    <w:rsid w:val="00577CBF"/>
    <w:rsid w:val="0059094C"/>
    <w:rsid w:val="00593124"/>
    <w:rsid w:val="00593D52"/>
    <w:rsid w:val="00593FAF"/>
    <w:rsid w:val="00594B99"/>
    <w:rsid w:val="005968C0"/>
    <w:rsid w:val="005A0EF8"/>
    <w:rsid w:val="005A1564"/>
    <w:rsid w:val="005A1C20"/>
    <w:rsid w:val="005A39FE"/>
    <w:rsid w:val="005A4218"/>
    <w:rsid w:val="005A50CB"/>
    <w:rsid w:val="005A7081"/>
    <w:rsid w:val="005B300A"/>
    <w:rsid w:val="005B3B74"/>
    <w:rsid w:val="005C1EFA"/>
    <w:rsid w:val="005C26BD"/>
    <w:rsid w:val="005C346A"/>
    <w:rsid w:val="005C76FB"/>
    <w:rsid w:val="005D1095"/>
    <w:rsid w:val="005D47AD"/>
    <w:rsid w:val="005E0407"/>
    <w:rsid w:val="005E060D"/>
    <w:rsid w:val="005E2378"/>
    <w:rsid w:val="005E27BF"/>
    <w:rsid w:val="005E44C7"/>
    <w:rsid w:val="005E454A"/>
    <w:rsid w:val="005E57E5"/>
    <w:rsid w:val="005E63B9"/>
    <w:rsid w:val="005F686A"/>
    <w:rsid w:val="005F733D"/>
    <w:rsid w:val="00601106"/>
    <w:rsid w:val="00601251"/>
    <w:rsid w:val="006021ED"/>
    <w:rsid w:val="0060269B"/>
    <w:rsid w:val="00605017"/>
    <w:rsid w:val="006058B0"/>
    <w:rsid w:val="00605E74"/>
    <w:rsid w:val="0060657E"/>
    <w:rsid w:val="00610A71"/>
    <w:rsid w:val="006112D8"/>
    <w:rsid w:val="00611D2E"/>
    <w:rsid w:val="0061245A"/>
    <w:rsid w:val="006124C2"/>
    <w:rsid w:val="006137C6"/>
    <w:rsid w:val="0061416C"/>
    <w:rsid w:val="00614245"/>
    <w:rsid w:val="00617635"/>
    <w:rsid w:val="006218E5"/>
    <w:rsid w:val="00621BA2"/>
    <w:rsid w:val="00623EBB"/>
    <w:rsid w:val="00625D1B"/>
    <w:rsid w:val="00626337"/>
    <w:rsid w:val="00626341"/>
    <w:rsid w:val="00631A26"/>
    <w:rsid w:val="006336A4"/>
    <w:rsid w:val="00635D2E"/>
    <w:rsid w:val="006362F6"/>
    <w:rsid w:val="006374D9"/>
    <w:rsid w:val="00637F72"/>
    <w:rsid w:val="0064284F"/>
    <w:rsid w:val="00644A38"/>
    <w:rsid w:val="00644EF1"/>
    <w:rsid w:val="00646DB4"/>
    <w:rsid w:val="00650196"/>
    <w:rsid w:val="00650DEF"/>
    <w:rsid w:val="00652A79"/>
    <w:rsid w:val="00652C33"/>
    <w:rsid w:val="00653346"/>
    <w:rsid w:val="00654D43"/>
    <w:rsid w:val="006572A3"/>
    <w:rsid w:val="00660AF9"/>
    <w:rsid w:val="006639CE"/>
    <w:rsid w:val="00664A49"/>
    <w:rsid w:val="006676C3"/>
    <w:rsid w:val="006676E5"/>
    <w:rsid w:val="00667B04"/>
    <w:rsid w:val="00670966"/>
    <w:rsid w:val="0067305F"/>
    <w:rsid w:val="006734ED"/>
    <w:rsid w:val="00675B07"/>
    <w:rsid w:val="00676D14"/>
    <w:rsid w:val="00680AD2"/>
    <w:rsid w:val="006911B0"/>
    <w:rsid w:val="00691250"/>
    <w:rsid w:val="00693693"/>
    <w:rsid w:val="00694929"/>
    <w:rsid w:val="00697851"/>
    <w:rsid w:val="006A3BF3"/>
    <w:rsid w:val="006A57B8"/>
    <w:rsid w:val="006A6776"/>
    <w:rsid w:val="006A7AA6"/>
    <w:rsid w:val="006B49D1"/>
    <w:rsid w:val="006B593D"/>
    <w:rsid w:val="006C10E5"/>
    <w:rsid w:val="006C3325"/>
    <w:rsid w:val="006C5231"/>
    <w:rsid w:val="006C6143"/>
    <w:rsid w:val="006D44DF"/>
    <w:rsid w:val="006D4600"/>
    <w:rsid w:val="006D4FB9"/>
    <w:rsid w:val="006D5C89"/>
    <w:rsid w:val="006D7AB2"/>
    <w:rsid w:val="006D7E68"/>
    <w:rsid w:val="006E2F9F"/>
    <w:rsid w:val="006E51A1"/>
    <w:rsid w:val="006F0B23"/>
    <w:rsid w:val="006F5EDB"/>
    <w:rsid w:val="006F7D42"/>
    <w:rsid w:val="00700DB9"/>
    <w:rsid w:val="00702C8F"/>
    <w:rsid w:val="00704125"/>
    <w:rsid w:val="007100CE"/>
    <w:rsid w:val="00710156"/>
    <w:rsid w:val="00710BD2"/>
    <w:rsid w:val="00711D23"/>
    <w:rsid w:val="0071417D"/>
    <w:rsid w:val="007142EB"/>
    <w:rsid w:val="00714367"/>
    <w:rsid w:val="00717D25"/>
    <w:rsid w:val="00723C88"/>
    <w:rsid w:val="00725826"/>
    <w:rsid w:val="00726251"/>
    <w:rsid w:val="007310A6"/>
    <w:rsid w:val="007311FE"/>
    <w:rsid w:val="007459AE"/>
    <w:rsid w:val="0074636D"/>
    <w:rsid w:val="0074652C"/>
    <w:rsid w:val="0074669C"/>
    <w:rsid w:val="00746903"/>
    <w:rsid w:val="007518BE"/>
    <w:rsid w:val="00753BC6"/>
    <w:rsid w:val="00754781"/>
    <w:rsid w:val="00756EB1"/>
    <w:rsid w:val="007573D2"/>
    <w:rsid w:val="00761A4E"/>
    <w:rsid w:val="00764564"/>
    <w:rsid w:val="00764D62"/>
    <w:rsid w:val="00765811"/>
    <w:rsid w:val="007678EB"/>
    <w:rsid w:val="00772616"/>
    <w:rsid w:val="00773214"/>
    <w:rsid w:val="00776E26"/>
    <w:rsid w:val="00782807"/>
    <w:rsid w:val="00785E87"/>
    <w:rsid w:val="00785F95"/>
    <w:rsid w:val="00786E0E"/>
    <w:rsid w:val="0079040C"/>
    <w:rsid w:val="00790B10"/>
    <w:rsid w:val="00791C02"/>
    <w:rsid w:val="00793BFE"/>
    <w:rsid w:val="00794731"/>
    <w:rsid w:val="0079537E"/>
    <w:rsid w:val="0079594A"/>
    <w:rsid w:val="007A37AA"/>
    <w:rsid w:val="007A6949"/>
    <w:rsid w:val="007A7DC6"/>
    <w:rsid w:val="007B21F9"/>
    <w:rsid w:val="007B514C"/>
    <w:rsid w:val="007B5B86"/>
    <w:rsid w:val="007C1824"/>
    <w:rsid w:val="007C3017"/>
    <w:rsid w:val="007C374E"/>
    <w:rsid w:val="007C6D14"/>
    <w:rsid w:val="007D3399"/>
    <w:rsid w:val="007D5F51"/>
    <w:rsid w:val="007E0AAA"/>
    <w:rsid w:val="007E1E51"/>
    <w:rsid w:val="007E3BBD"/>
    <w:rsid w:val="007F132F"/>
    <w:rsid w:val="007F1A66"/>
    <w:rsid w:val="007F1A9D"/>
    <w:rsid w:val="007F239B"/>
    <w:rsid w:val="007F5B9C"/>
    <w:rsid w:val="007F61DC"/>
    <w:rsid w:val="00803219"/>
    <w:rsid w:val="00810923"/>
    <w:rsid w:val="008141D4"/>
    <w:rsid w:val="0081434E"/>
    <w:rsid w:val="0081465B"/>
    <w:rsid w:val="008152FC"/>
    <w:rsid w:val="00816392"/>
    <w:rsid w:val="00817595"/>
    <w:rsid w:val="00824153"/>
    <w:rsid w:val="0082531A"/>
    <w:rsid w:val="00825B1D"/>
    <w:rsid w:val="00826A80"/>
    <w:rsid w:val="00834B1D"/>
    <w:rsid w:val="00834C6A"/>
    <w:rsid w:val="00835521"/>
    <w:rsid w:val="00837BC7"/>
    <w:rsid w:val="00843871"/>
    <w:rsid w:val="00844B5B"/>
    <w:rsid w:val="008569B8"/>
    <w:rsid w:val="0086159D"/>
    <w:rsid w:val="0086258F"/>
    <w:rsid w:val="008631A1"/>
    <w:rsid w:val="008655A0"/>
    <w:rsid w:val="00872EE4"/>
    <w:rsid w:val="0087552B"/>
    <w:rsid w:val="0087775D"/>
    <w:rsid w:val="0088281B"/>
    <w:rsid w:val="00883151"/>
    <w:rsid w:val="008838A8"/>
    <w:rsid w:val="0088587D"/>
    <w:rsid w:val="00886B2F"/>
    <w:rsid w:val="008875C5"/>
    <w:rsid w:val="008907F4"/>
    <w:rsid w:val="00891FFF"/>
    <w:rsid w:val="00895479"/>
    <w:rsid w:val="0089596F"/>
    <w:rsid w:val="00895FFA"/>
    <w:rsid w:val="008A06D0"/>
    <w:rsid w:val="008A1768"/>
    <w:rsid w:val="008A2730"/>
    <w:rsid w:val="008B13CC"/>
    <w:rsid w:val="008B27B4"/>
    <w:rsid w:val="008B2A0C"/>
    <w:rsid w:val="008B2C96"/>
    <w:rsid w:val="008B4732"/>
    <w:rsid w:val="008B76F6"/>
    <w:rsid w:val="008B7F6A"/>
    <w:rsid w:val="008C159D"/>
    <w:rsid w:val="008C3F21"/>
    <w:rsid w:val="008C6B98"/>
    <w:rsid w:val="008C7DE4"/>
    <w:rsid w:val="008D0A16"/>
    <w:rsid w:val="008D52A2"/>
    <w:rsid w:val="008E0B11"/>
    <w:rsid w:val="008E2254"/>
    <w:rsid w:val="008E421D"/>
    <w:rsid w:val="008E4FAA"/>
    <w:rsid w:val="008F30E4"/>
    <w:rsid w:val="008F40BA"/>
    <w:rsid w:val="008F42CF"/>
    <w:rsid w:val="0090391F"/>
    <w:rsid w:val="0091779E"/>
    <w:rsid w:val="00922FBE"/>
    <w:rsid w:val="009238A0"/>
    <w:rsid w:val="00924549"/>
    <w:rsid w:val="00924A82"/>
    <w:rsid w:val="00932158"/>
    <w:rsid w:val="0093279A"/>
    <w:rsid w:val="00935BD6"/>
    <w:rsid w:val="00935E1D"/>
    <w:rsid w:val="00937267"/>
    <w:rsid w:val="00937481"/>
    <w:rsid w:val="009463B2"/>
    <w:rsid w:val="00947D05"/>
    <w:rsid w:val="00957C3F"/>
    <w:rsid w:val="009612DC"/>
    <w:rsid w:val="009630C3"/>
    <w:rsid w:val="0096361F"/>
    <w:rsid w:val="009655B0"/>
    <w:rsid w:val="00965BAD"/>
    <w:rsid w:val="00967171"/>
    <w:rsid w:val="00971C44"/>
    <w:rsid w:val="00972AE7"/>
    <w:rsid w:val="009737C0"/>
    <w:rsid w:val="00974D3C"/>
    <w:rsid w:val="009762E6"/>
    <w:rsid w:val="00977ED3"/>
    <w:rsid w:val="0098036A"/>
    <w:rsid w:val="00983CEC"/>
    <w:rsid w:val="00985A7E"/>
    <w:rsid w:val="0098683F"/>
    <w:rsid w:val="00987CAF"/>
    <w:rsid w:val="0099023E"/>
    <w:rsid w:val="009906B9"/>
    <w:rsid w:val="009937C6"/>
    <w:rsid w:val="00995DEB"/>
    <w:rsid w:val="00997B0E"/>
    <w:rsid w:val="00997E46"/>
    <w:rsid w:val="009A5985"/>
    <w:rsid w:val="009B755C"/>
    <w:rsid w:val="009B7FC1"/>
    <w:rsid w:val="009C06FB"/>
    <w:rsid w:val="009C1A02"/>
    <w:rsid w:val="009C2BB5"/>
    <w:rsid w:val="009C4830"/>
    <w:rsid w:val="009C60FA"/>
    <w:rsid w:val="009D0128"/>
    <w:rsid w:val="009D053F"/>
    <w:rsid w:val="009D0D4E"/>
    <w:rsid w:val="009D0FFF"/>
    <w:rsid w:val="009D100D"/>
    <w:rsid w:val="009D2200"/>
    <w:rsid w:val="009D35F4"/>
    <w:rsid w:val="009D38D9"/>
    <w:rsid w:val="009D4A16"/>
    <w:rsid w:val="009D4DF1"/>
    <w:rsid w:val="009D5678"/>
    <w:rsid w:val="009D6805"/>
    <w:rsid w:val="009E2632"/>
    <w:rsid w:val="009E5823"/>
    <w:rsid w:val="009E6B77"/>
    <w:rsid w:val="009E7A2E"/>
    <w:rsid w:val="009F0E75"/>
    <w:rsid w:val="009F43BC"/>
    <w:rsid w:val="009F5E07"/>
    <w:rsid w:val="009F5E61"/>
    <w:rsid w:val="009F6030"/>
    <w:rsid w:val="00A01745"/>
    <w:rsid w:val="00A01949"/>
    <w:rsid w:val="00A035AF"/>
    <w:rsid w:val="00A03CC2"/>
    <w:rsid w:val="00A05ED7"/>
    <w:rsid w:val="00A06691"/>
    <w:rsid w:val="00A07653"/>
    <w:rsid w:val="00A114E5"/>
    <w:rsid w:val="00A115E5"/>
    <w:rsid w:val="00A11C95"/>
    <w:rsid w:val="00A16829"/>
    <w:rsid w:val="00A22C12"/>
    <w:rsid w:val="00A25872"/>
    <w:rsid w:val="00A26882"/>
    <w:rsid w:val="00A31104"/>
    <w:rsid w:val="00A31239"/>
    <w:rsid w:val="00A3236C"/>
    <w:rsid w:val="00A33CA9"/>
    <w:rsid w:val="00A43009"/>
    <w:rsid w:val="00A4588D"/>
    <w:rsid w:val="00A4641F"/>
    <w:rsid w:val="00A5102E"/>
    <w:rsid w:val="00A524F8"/>
    <w:rsid w:val="00A52504"/>
    <w:rsid w:val="00A5314B"/>
    <w:rsid w:val="00A54A00"/>
    <w:rsid w:val="00A54CD0"/>
    <w:rsid w:val="00A55137"/>
    <w:rsid w:val="00A643B9"/>
    <w:rsid w:val="00A64C2A"/>
    <w:rsid w:val="00A668E7"/>
    <w:rsid w:val="00A66B35"/>
    <w:rsid w:val="00A71783"/>
    <w:rsid w:val="00A7285E"/>
    <w:rsid w:val="00A759A3"/>
    <w:rsid w:val="00A763A5"/>
    <w:rsid w:val="00A77099"/>
    <w:rsid w:val="00A8119D"/>
    <w:rsid w:val="00A81246"/>
    <w:rsid w:val="00A85156"/>
    <w:rsid w:val="00A8627A"/>
    <w:rsid w:val="00A913B8"/>
    <w:rsid w:val="00A950B1"/>
    <w:rsid w:val="00AA0D16"/>
    <w:rsid w:val="00AA3316"/>
    <w:rsid w:val="00AA3830"/>
    <w:rsid w:val="00AA3DF4"/>
    <w:rsid w:val="00AA571E"/>
    <w:rsid w:val="00AB3733"/>
    <w:rsid w:val="00AB3A0C"/>
    <w:rsid w:val="00AB4021"/>
    <w:rsid w:val="00AB5830"/>
    <w:rsid w:val="00AC4E0A"/>
    <w:rsid w:val="00AC5E5A"/>
    <w:rsid w:val="00AC6A73"/>
    <w:rsid w:val="00AD0D5E"/>
    <w:rsid w:val="00AD449C"/>
    <w:rsid w:val="00AD4FF7"/>
    <w:rsid w:val="00AD5416"/>
    <w:rsid w:val="00AD610E"/>
    <w:rsid w:val="00AD6716"/>
    <w:rsid w:val="00AE127A"/>
    <w:rsid w:val="00AE28D8"/>
    <w:rsid w:val="00AE488C"/>
    <w:rsid w:val="00AE6758"/>
    <w:rsid w:val="00AE6B70"/>
    <w:rsid w:val="00AF163C"/>
    <w:rsid w:val="00AF3A15"/>
    <w:rsid w:val="00AF4817"/>
    <w:rsid w:val="00B016F1"/>
    <w:rsid w:val="00B0497E"/>
    <w:rsid w:val="00B06459"/>
    <w:rsid w:val="00B0730F"/>
    <w:rsid w:val="00B073F5"/>
    <w:rsid w:val="00B10311"/>
    <w:rsid w:val="00B10AFD"/>
    <w:rsid w:val="00B1162E"/>
    <w:rsid w:val="00B127EE"/>
    <w:rsid w:val="00B141D2"/>
    <w:rsid w:val="00B15DF0"/>
    <w:rsid w:val="00B17FB2"/>
    <w:rsid w:val="00B22A32"/>
    <w:rsid w:val="00B23B83"/>
    <w:rsid w:val="00B3328E"/>
    <w:rsid w:val="00B34E6B"/>
    <w:rsid w:val="00B3511D"/>
    <w:rsid w:val="00B36659"/>
    <w:rsid w:val="00B36F76"/>
    <w:rsid w:val="00B37C8C"/>
    <w:rsid w:val="00B37FFE"/>
    <w:rsid w:val="00B40D19"/>
    <w:rsid w:val="00B41E83"/>
    <w:rsid w:val="00B4640C"/>
    <w:rsid w:val="00B46E8D"/>
    <w:rsid w:val="00B47794"/>
    <w:rsid w:val="00B50A12"/>
    <w:rsid w:val="00B516B1"/>
    <w:rsid w:val="00B524A1"/>
    <w:rsid w:val="00B53443"/>
    <w:rsid w:val="00B5449B"/>
    <w:rsid w:val="00B6076E"/>
    <w:rsid w:val="00B61AD0"/>
    <w:rsid w:val="00B62206"/>
    <w:rsid w:val="00B62ADF"/>
    <w:rsid w:val="00B62BDD"/>
    <w:rsid w:val="00B66254"/>
    <w:rsid w:val="00B66FEF"/>
    <w:rsid w:val="00B70F44"/>
    <w:rsid w:val="00B72A06"/>
    <w:rsid w:val="00B76CF7"/>
    <w:rsid w:val="00B77857"/>
    <w:rsid w:val="00B82015"/>
    <w:rsid w:val="00B92294"/>
    <w:rsid w:val="00B97801"/>
    <w:rsid w:val="00BA1D8A"/>
    <w:rsid w:val="00BA1E18"/>
    <w:rsid w:val="00BA32BB"/>
    <w:rsid w:val="00BA39F3"/>
    <w:rsid w:val="00BA5CD4"/>
    <w:rsid w:val="00BB0F45"/>
    <w:rsid w:val="00BB156B"/>
    <w:rsid w:val="00BB1E5C"/>
    <w:rsid w:val="00BB2291"/>
    <w:rsid w:val="00BB2FCA"/>
    <w:rsid w:val="00BB30B7"/>
    <w:rsid w:val="00BB3221"/>
    <w:rsid w:val="00BB7B12"/>
    <w:rsid w:val="00BC277A"/>
    <w:rsid w:val="00BD042A"/>
    <w:rsid w:val="00BD1780"/>
    <w:rsid w:val="00BD4463"/>
    <w:rsid w:val="00BD7B1B"/>
    <w:rsid w:val="00BD7B96"/>
    <w:rsid w:val="00BE172A"/>
    <w:rsid w:val="00BE58DC"/>
    <w:rsid w:val="00BE5C08"/>
    <w:rsid w:val="00BE5DB1"/>
    <w:rsid w:val="00BE66F2"/>
    <w:rsid w:val="00BE7F90"/>
    <w:rsid w:val="00BF0308"/>
    <w:rsid w:val="00BF0F14"/>
    <w:rsid w:val="00BF201B"/>
    <w:rsid w:val="00BF536E"/>
    <w:rsid w:val="00C030F4"/>
    <w:rsid w:val="00C03B89"/>
    <w:rsid w:val="00C056B3"/>
    <w:rsid w:val="00C070FF"/>
    <w:rsid w:val="00C07637"/>
    <w:rsid w:val="00C14C32"/>
    <w:rsid w:val="00C15FCD"/>
    <w:rsid w:val="00C1688F"/>
    <w:rsid w:val="00C179B4"/>
    <w:rsid w:val="00C22CF1"/>
    <w:rsid w:val="00C27CF4"/>
    <w:rsid w:val="00C3293E"/>
    <w:rsid w:val="00C343F8"/>
    <w:rsid w:val="00C36C59"/>
    <w:rsid w:val="00C41CAE"/>
    <w:rsid w:val="00C45725"/>
    <w:rsid w:val="00C530CB"/>
    <w:rsid w:val="00C5324B"/>
    <w:rsid w:val="00C53F3E"/>
    <w:rsid w:val="00C54F96"/>
    <w:rsid w:val="00C603D4"/>
    <w:rsid w:val="00C60E5C"/>
    <w:rsid w:val="00C61C57"/>
    <w:rsid w:val="00C63483"/>
    <w:rsid w:val="00C635AB"/>
    <w:rsid w:val="00C8039B"/>
    <w:rsid w:val="00C81F42"/>
    <w:rsid w:val="00C85E8C"/>
    <w:rsid w:val="00C87256"/>
    <w:rsid w:val="00C939C8"/>
    <w:rsid w:val="00C96949"/>
    <w:rsid w:val="00C97C86"/>
    <w:rsid w:val="00CA00FA"/>
    <w:rsid w:val="00CA1177"/>
    <w:rsid w:val="00CA1C13"/>
    <w:rsid w:val="00CA73BE"/>
    <w:rsid w:val="00CA73DD"/>
    <w:rsid w:val="00CA7544"/>
    <w:rsid w:val="00CA7BDB"/>
    <w:rsid w:val="00CB0688"/>
    <w:rsid w:val="00CB2103"/>
    <w:rsid w:val="00CB3284"/>
    <w:rsid w:val="00CB3739"/>
    <w:rsid w:val="00CB48E4"/>
    <w:rsid w:val="00CB50B3"/>
    <w:rsid w:val="00CC0F43"/>
    <w:rsid w:val="00CC1A19"/>
    <w:rsid w:val="00CC4180"/>
    <w:rsid w:val="00CC6388"/>
    <w:rsid w:val="00CD3E00"/>
    <w:rsid w:val="00CD5729"/>
    <w:rsid w:val="00CD5A95"/>
    <w:rsid w:val="00CE0698"/>
    <w:rsid w:val="00CE1981"/>
    <w:rsid w:val="00CE29DB"/>
    <w:rsid w:val="00CE3860"/>
    <w:rsid w:val="00CE3BCF"/>
    <w:rsid w:val="00CE551F"/>
    <w:rsid w:val="00CE6FA6"/>
    <w:rsid w:val="00CF27A6"/>
    <w:rsid w:val="00CF5A97"/>
    <w:rsid w:val="00CF70FA"/>
    <w:rsid w:val="00D027CF"/>
    <w:rsid w:val="00D030EE"/>
    <w:rsid w:val="00D03A07"/>
    <w:rsid w:val="00D044B4"/>
    <w:rsid w:val="00D05354"/>
    <w:rsid w:val="00D056D5"/>
    <w:rsid w:val="00D05712"/>
    <w:rsid w:val="00D05946"/>
    <w:rsid w:val="00D06BB3"/>
    <w:rsid w:val="00D07C60"/>
    <w:rsid w:val="00D11C7F"/>
    <w:rsid w:val="00D232BC"/>
    <w:rsid w:val="00D24422"/>
    <w:rsid w:val="00D24CBB"/>
    <w:rsid w:val="00D25258"/>
    <w:rsid w:val="00D25C9F"/>
    <w:rsid w:val="00D26266"/>
    <w:rsid w:val="00D26AA0"/>
    <w:rsid w:val="00D33A24"/>
    <w:rsid w:val="00D34F56"/>
    <w:rsid w:val="00D353E9"/>
    <w:rsid w:val="00D3568D"/>
    <w:rsid w:val="00D35DE9"/>
    <w:rsid w:val="00D361F5"/>
    <w:rsid w:val="00D41915"/>
    <w:rsid w:val="00D42CFF"/>
    <w:rsid w:val="00D4304A"/>
    <w:rsid w:val="00D4604E"/>
    <w:rsid w:val="00D4670D"/>
    <w:rsid w:val="00D46891"/>
    <w:rsid w:val="00D50AC3"/>
    <w:rsid w:val="00D527E5"/>
    <w:rsid w:val="00D5476E"/>
    <w:rsid w:val="00D548D3"/>
    <w:rsid w:val="00D5518F"/>
    <w:rsid w:val="00D551A7"/>
    <w:rsid w:val="00D56119"/>
    <w:rsid w:val="00D57ED8"/>
    <w:rsid w:val="00D60E60"/>
    <w:rsid w:val="00D62730"/>
    <w:rsid w:val="00D72C3A"/>
    <w:rsid w:val="00D72E37"/>
    <w:rsid w:val="00D741F2"/>
    <w:rsid w:val="00D749E7"/>
    <w:rsid w:val="00D74FF0"/>
    <w:rsid w:val="00D756C8"/>
    <w:rsid w:val="00D80378"/>
    <w:rsid w:val="00D81A3F"/>
    <w:rsid w:val="00D82A40"/>
    <w:rsid w:val="00D84BCE"/>
    <w:rsid w:val="00D90FB5"/>
    <w:rsid w:val="00D911C2"/>
    <w:rsid w:val="00D91E4F"/>
    <w:rsid w:val="00D9584D"/>
    <w:rsid w:val="00DA0328"/>
    <w:rsid w:val="00DA150E"/>
    <w:rsid w:val="00DA1BFB"/>
    <w:rsid w:val="00DA5546"/>
    <w:rsid w:val="00DA5A7E"/>
    <w:rsid w:val="00DA61CE"/>
    <w:rsid w:val="00DB1AE2"/>
    <w:rsid w:val="00DB3252"/>
    <w:rsid w:val="00DB4178"/>
    <w:rsid w:val="00DB490C"/>
    <w:rsid w:val="00DB5B4C"/>
    <w:rsid w:val="00DB6952"/>
    <w:rsid w:val="00DC04D0"/>
    <w:rsid w:val="00DC1488"/>
    <w:rsid w:val="00DD043C"/>
    <w:rsid w:val="00DD125C"/>
    <w:rsid w:val="00DE1327"/>
    <w:rsid w:val="00DE23C6"/>
    <w:rsid w:val="00DE326B"/>
    <w:rsid w:val="00DE3A48"/>
    <w:rsid w:val="00DE5032"/>
    <w:rsid w:val="00DE62AD"/>
    <w:rsid w:val="00DE675E"/>
    <w:rsid w:val="00DF22FA"/>
    <w:rsid w:val="00DF34E0"/>
    <w:rsid w:val="00DF64D7"/>
    <w:rsid w:val="00DF71DD"/>
    <w:rsid w:val="00E02A10"/>
    <w:rsid w:val="00E0399F"/>
    <w:rsid w:val="00E062F9"/>
    <w:rsid w:val="00E073F0"/>
    <w:rsid w:val="00E10595"/>
    <w:rsid w:val="00E15027"/>
    <w:rsid w:val="00E15DCA"/>
    <w:rsid w:val="00E163C3"/>
    <w:rsid w:val="00E16A9B"/>
    <w:rsid w:val="00E173B8"/>
    <w:rsid w:val="00E211AF"/>
    <w:rsid w:val="00E2647D"/>
    <w:rsid w:val="00E309F8"/>
    <w:rsid w:val="00E30D81"/>
    <w:rsid w:val="00E344A4"/>
    <w:rsid w:val="00E34A63"/>
    <w:rsid w:val="00E35823"/>
    <w:rsid w:val="00E37475"/>
    <w:rsid w:val="00E4393B"/>
    <w:rsid w:val="00E516EA"/>
    <w:rsid w:val="00E520F8"/>
    <w:rsid w:val="00E523C8"/>
    <w:rsid w:val="00E53FB4"/>
    <w:rsid w:val="00E551A0"/>
    <w:rsid w:val="00E67C05"/>
    <w:rsid w:val="00E717D5"/>
    <w:rsid w:val="00E72130"/>
    <w:rsid w:val="00E7268B"/>
    <w:rsid w:val="00E74B4F"/>
    <w:rsid w:val="00E7528A"/>
    <w:rsid w:val="00E766D1"/>
    <w:rsid w:val="00E840C7"/>
    <w:rsid w:val="00E85C3C"/>
    <w:rsid w:val="00E91EEB"/>
    <w:rsid w:val="00E96671"/>
    <w:rsid w:val="00EA5792"/>
    <w:rsid w:val="00EA5F0C"/>
    <w:rsid w:val="00EA708D"/>
    <w:rsid w:val="00EB3235"/>
    <w:rsid w:val="00EB5103"/>
    <w:rsid w:val="00EB754D"/>
    <w:rsid w:val="00EC1936"/>
    <w:rsid w:val="00EC1B85"/>
    <w:rsid w:val="00EC44D1"/>
    <w:rsid w:val="00EC4791"/>
    <w:rsid w:val="00EC6BDE"/>
    <w:rsid w:val="00ED1F44"/>
    <w:rsid w:val="00ED6295"/>
    <w:rsid w:val="00ED6B49"/>
    <w:rsid w:val="00ED7E64"/>
    <w:rsid w:val="00EE0185"/>
    <w:rsid w:val="00EE0E48"/>
    <w:rsid w:val="00EE317B"/>
    <w:rsid w:val="00EE44AA"/>
    <w:rsid w:val="00EE518C"/>
    <w:rsid w:val="00EE5492"/>
    <w:rsid w:val="00EF0F14"/>
    <w:rsid w:val="00EF660C"/>
    <w:rsid w:val="00EF7DB2"/>
    <w:rsid w:val="00F01E88"/>
    <w:rsid w:val="00F02042"/>
    <w:rsid w:val="00F03626"/>
    <w:rsid w:val="00F07914"/>
    <w:rsid w:val="00F10090"/>
    <w:rsid w:val="00F1176E"/>
    <w:rsid w:val="00F22CC9"/>
    <w:rsid w:val="00F24D7F"/>
    <w:rsid w:val="00F2708F"/>
    <w:rsid w:val="00F309CB"/>
    <w:rsid w:val="00F33033"/>
    <w:rsid w:val="00F36928"/>
    <w:rsid w:val="00F37BF0"/>
    <w:rsid w:val="00F41722"/>
    <w:rsid w:val="00F41D05"/>
    <w:rsid w:val="00F43035"/>
    <w:rsid w:val="00F447CB"/>
    <w:rsid w:val="00F46AC7"/>
    <w:rsid w:val="00F477F3"/>
    <w:rsid w:val="00F50834"/>
    <w:rsid w:val="00F5132E"/>
    <w:rsid w:val="00F53012"/>
    <w:rsid w:val="00F556B2"/>
    <w:rsid w:val="00F565DF"/>
    <w:rsid w:val="00F601E7"/>
    <w:rsid w:val="00F61181"/>
    <w:rsid w:val="00F61578"/>
    <w:rsid w:val="00F627A4"/>
    <w:rsid w:val="00F62DB8"/>
    <w:rsid w:val="00F65B05"/>
    <w:rsid w:val="00F678F3"/>
    <w:rsid w:val="00F742F1"/>
    <w:rsid w:val="00F75AD6"/>
    <w:rsid w:val="00F77AB2"/>
    <w:rsid w:val="00F77E43"/>
    <w:rsid w:val="00F81199"/>
    <w:rsid w:val="00F8182B"/>
    <w:rsid w:val="00F84CEE"/>
    <w:rsid w:val="00F87EA1"/>
    <w:rsid w:val="00F90BD2"/>
    <w:rsid w:val="00F930C5"/>
    <w:rsid w:val="00F94CEA"/>
    <w:rsid w:val="00F9548F"/>
    <w:rsid w:val="00F958EC"/>
    <w:rsid w:val="00F95E05"/>
    <w:rsid w:val="00FA17AD"/>
    <w:rsid w:val="00FA1C89"/>
    <w:rsid w:val="00FA24E8"/>
    <w:rsid w:val="00FA6CA8"/>
    <w:rsid w:val="00FB26DF"/>
    <w:rsid w:val="00FB2F79"/>
    <w:rsid w:val="00FB408B"/>
    <w:rsid w:val="00FB5850"/>
    <w:rsid w:val="00FB587D"/>
    <w:rsid w:val="00FB7212"/>
    <w:rsid w:val="00FB74D7"/>
    <w:rsid w:val="00FB7D72"/>
    <w:rsid w:val="00FC21F3"/>
    <w:rsid w:val="00FD07FC"/>
    <w:rsid w:val="00FD58FC"/>
    <w:rsid w:val="00FD725E"/>
    <w:rsid w:val="00FD7387"/>
    <w:rsid w:val="00FE10BD"/>
    <w:rsid w:val="00FE59C2"/>
    <w:rsid w:val="00FF415E"/>
    <w:rsid w:val="00FF6AB3"/>
    <w:rsid w:val="00FF6B33"/>
    <w:rsid w:val="00FF7B7E"/>
    <w:rsid w:val="12555AE4"/>
    <w:rsid w:val="40EA7580"/>
    <w:rsid w:val="70801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unhideWhenUsed/>
    <w:qFormat/>
    <w:uiPriority w:val="99"/>
    <w:rPr>
      <w:sz w:val="20"/>
      <w:szCs w:val="20"/>
    </w:rPr>
  </w:style>
  <w:style w:type="paragraph" w:styleId="3">
    <w:name w:val="Balloon Text"/>
    <w:basedOn w:val="1"/>
    <w:link w:val="17"/>
    <w:semiHidden/>
    <w:unhideWhenUsed/>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qFormat/>
    <w:uiPriority w:val="99"/>
    <w:rPr>
      <w:b/>
      <w:bCs/>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Hyperlink"/>
    <w:basedOn w:val="9"/>
    <w:unhideWhenUsed/>
    <w:uiPriority w:val="99"/>
    <w:rPr>
      <w:color w:val="0000FF"/>
      <w:u w:val="single"/>
    </w:rPr>
  </w:style>
  <w:style w:type="character" w:styleId="11">
    <w:name w:val="annotation reference"/>
    <w:basedOn w:val="9"/>
    <w:semiHidden/>
    <w:unhideWhenUsed/>
    <w:uiPriority w:val="99"/>
    <w:rPr>
      <w:sz w:val="16"/>
      <w:szCs w:val="16"/>
    </w:rPr>
  </w:style>
  <w:style w:type="character" w:styleId="12">
    <w:name w:val="HTML Cite"/>
    <w:basedOn w:val="9"/>
    <w:semiHidden/>
    <w:unhideWhenUsed/>
    <w:qFormat/>
    <w:uiPriority w:val="99"/>
    <w:rPr>
      <w:i/>
      <w:iCs/>
    </w:rPr>
  </w:style>
  <w:style w:type="paragraph" w:customStyle="1" w:styleId="13">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14">
    <w:name w:val="页眉 Char"/>
    <w:basedOn w:val="9"/>
    <w:link w:val="5"/>
    <w:qFormat/>
    <w:uiPriority w:val="99"/>
    <w:rPr>
      <w:sz w:val="18"/>
      <w:szCs w:val="18"/>
    </w:rPr>
  </w:style>
  <w:style w:type="character" w:customStyle="1" w:styleId="15">
    <w:name w:val="页脚 Char"/>
    <w:basedOn w:val="9"/>
    <w:link w:val="4"/>
    <w:qFormat/>
    <w:uiPriority w:val="99"/>
    <w:rPr>
      <w:sz w:val="18"/>
      <w:szCs w:val="18"/>
    </w:rPr>
  </w:style>
  <w:style w:type="character" w:customStyle="1" w:styleId="16">
    <w:name w:val="fontstyle01"/>
    <w:basedOn w:val="9"/>
    <w:uiPriority w:val="0"/>
    <w:rPr>
      <w:rFonts w:hint="default" w:ascii="TimesNewRomanPSMT" w:hAnsi="TimesNewRomanPSMT"/>
      <w:color w:val="000000"/>
      <w:sz w:val="24"/>
      <w:szCs w:val="24"/>
    </w:rPr>
  </w:style>
  <w:style w:type="character" w:customStyle="1" w:styleId="17">
    <w:name w:val="批注框文本 Char"/>
    <w:basedOn w:val="9"/>
    <w:link w:val="3"/>
    <w:semiHidden/>
    <w:qFormat/>
    <w:uiPriority w:val="99"/>
    <w:rPr>
      <w:sz w:val="18"/>
      <w:szCs w:val="18"/>
    </w:rPr>
  </w:style>
  <w:style w:type="character" w:customStyle="1" w:styleId="18">
    <w:name w:val="批注文字 Char"/>
    <w:basedOn w:val="9"/>
    <w:link w:val="2"/>
    <w:semiHidden/>
    <w:qFormat/>
    <w:uiPriority w:val="99"/>
    <w:rPr>
      <w:sz w:val="20"/>
      <w:szCs w:val="20"/>
    </w:rPr>
  </w:style>
  <w:style w:type="character" w:customStyle="1" w:styleId="19">
    <w:name w:val="批注主题 Char"/>
    <w:basedOn w:val="18"/>
    <w:link w:val="6"/>
    <w:semiHidden/>
    <w:uiPriority w:val="99"/>
    <w:rPr>
      <w:b/>
      <w:bCs/>
      <w:sz w:val="20"/>
      <w:szCs w:val="20"/>
    </w:rPr>
  </w:style>
  <w:style w:type="paragraph" w:styleId="20">
    <w:name w:val="List Paragraph"/>
    <w:basedOn w:val="1"/>
    <w:qFormat/>
    <w:uiPriority w:val="34"/>
    <w:pPr>
      <w:ind w:firstLine="420" w:firstLineChars="200"/>
    </w:pPr>
  </w:style>
  <w:style w:type="character" w:styleId="21">
    <w:name w:val="Placeholder Text"/>
    <w:basedOn w:val="9"/>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emf"/><Relationship Id="rId13" Type="http://schemas.openxmlformats.org/officeDocument/2006/relationships/oleObject" Target="embeddings/oleObject2.bin"/><Relationship Id="rId12" Type="http://schemas.openxmlformats.org/officeDocument/2006/relationships/image" Target="media/image8.e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3561</Words>
  <Characters>20304</Characters>
  <Lines>169</Lines>
  <Paragraphs>47</Paragraphs>
  <TotalTime>9731</TotalTime>
  <ScaleCrop>false</ScaleCrop>
  <LinksUpToDate>false</LinksUpToDate>
  <CharactersWithSpaces>23818</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2019-03-28T04:39:00Z</dcterms:created>
  <dc:creator>admin</dc:creator>
  <cp:lastModifiedBy>admin</cp:lastModifiedBy>
  <dcterms:modified xsi:type="dcterms:W3CDTF">2019-10-24T09:57:11Z</dcterms:modified>
  <cp:revision>978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