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1E" w:rsidRPr="00403D1E" w:rsidRDefault="00D369DF" w:rsidP="00D94AF6">
      <w:pPr>
        <w:rPr>
          <w:rFonts w:cstheme="minorHAnsi"/>
          <w:color w:val="000000" w:themeColor="text1"/>
          <w:sz w:val="24"/>
          <w:szCs w:val="24"/>
        </w:rPr>
      </w:pPr>
      <w:r>
        <w:rPr>
          <w:b/>
          <w:sz w:val="24"/>
          <w:szCs w:val="24"/>
        </w:rPr>
        <w:t>Supplementary Table 1</w:t>
      </w:r>
      <w:bookmarkStart w:id="0" w:name="_GoBack"/>
      <w:bookmarkEnd w:id="0"/>
      <w:r w:rsidR="00D94AF6">
        <w:rPr>
          <w:b/>
          <w:sz w:val="24"/>
          <w:szCs w:val="24"/>
        </w:rPr>
        <w:t xml:space="preserve">: </w:t>
      </w:r>
      <w:r w:rsidR="00403D1E" w:rsidRPr="00D94AF6">
        <w:rPr>
          <w:rFonts w:cstheme="minorHAnsi"/>
          <w:b/>
          <w:color w:val="000000" w:themeColor="text1"/>
          <w:sz w:val="24"/>
          <w:szCs w:val="24"/>
        </w:rPr>
        <w:t>Additional quotes</w:t>
      </w:r>
      <w:r w:rsidR="00403D1E" w:rsidRPr="00403D1E">
        <w:rPr>
          <w:rFonts w:cstheme="minorHAnsi"/>
          <w:color w:val="000000" w:themeColor="text1"/>
          <w:sz w:val="24"/>
          <w:szCs w:val="24"/>
        </w:rPr>
        <w:t xml:space="preserve">  </w:t>
      </w:r>
    </w:p>
    <w:tbl>
      <w:tblPr>
        <w:tblStyle w:val="Tabellenraster"/>
        <w:tblW w:w="0" w:type="auto"/>
        <w:tblLook w:val="04A0" w:firstRow="1" w:lastRow="0" w:firstColumn="1" w:lastColumn="0" w:noHBand="0" w:noVBand="1"/>
      </w:tblPr>
      <w:tblGrid>
        <w:gridCol w:w="2890"/>
        <w:gridCol w:w="2655"/>
        <w:gridCol w:w="3517"/>
      </w:tblGrid>
      <w:tr w:rsidR="00403D1E" w:rsidTr="00DB5E16">
        <w:tc>
          <w:tcPr>
            <w:tcW w:w="2943" w:type="dxa"/>
          </w:tcPr>
          <w:p w:rsidR="00403D1E" w:rsidRPr="00DD5D42" w:rsidRDefault="00403D1E" w:rsidP="00403D1E">
            <w:pPr>
              <w:spacing w:line="480" w:lineRule="auto"/>
            </w:pPr>
            <w:r w:rsidRPr="00DD5D42">
              <w:t>Category</w:t>
            </w:r>
          </w:p>
        </w:tc>
        <w:tc>
          <w:tcPr>
            <w:tcW w:w="2694" w:type="dxa"/>
          </w:tcPr>
          <w:p w:rsidR="00403D1E" w:rsidRPr="00DD5D42" w:rsidRDefault="00403D1E" w:rsidP="00403D1E">
            <w:pPr>
              <w:spacing w:line="480" w:lineRule="auto"/>
              <w:jc w:val="both"/>
            </w:pPr>
            <w:r w:rsidRPr="00DD5D42">
              <w:t>Sub-category</w:t>
            </w:r>
          </w:p>
        </w:tc>
        <w:tc>
          <w:tcPr>
            <w:tcW w:w="3575" w:type="dxa"/>
          </w:tcPr>
          <w:p w:rsidR="00403D1E" w:rsidRPr="00DD5D42" w:rsidRDefault="00403D1E">
            <w:r w:rsidRPr="00DD5D42">
              <w:t>Quote</w:t>
            </w:r>
          </w:p>
        </w:tc>
      </w:tr>
      <w:tr w:rsidR="00403D1E" w:rsidTr="00DB5E16">
        <w:tc>
          <w:tcPr>
            <w:tcW w:w="2943" w:type="dxa"/>
          </w:tcPr>
          <w:p w:rsidR="00403D1E" w:rsidRPr="00DD5D42" w:rsidRDefault="00403D1E" w:rsidP="00DB5E16">
            <w:pPr>
              <w:spacing w:line="480" w:lineRule="auto"/>
              <w:rPr>
                <w:rFonts w:cstheme="minorHAnsi"/>
                <w:color w:val="000000" w:themeColor="text1"/>
              </w:rPr>
            </w:pPr>
            <w:r w:rsidRPr="00DD5D42">
              <w:rPr>
                <w:rFonts w:cstheme="minorHAnsi"/>
                <w:color w:val="000000" w:themeColor="text1"/>
              </w:rPr>
              <w:t xml:space="preserve">Social support </w:t>
            </w:r>
          </w:p>
          <w:p w:rsidR="00403D1E" w:rsidRPr="00DD5D42" w:rsidRDefault="00403D1E" w:rsidP="00DB5E16">
            <w:pPr>
              <w:rPr>
                <w:color w:val="000000" w:themeColor="text1"/>
              </w:rPr>
            </w:pPr>
          </w:p>
        </w:tc>
        <w:tc>
          <w:tcPr>
            <w:tcW w:w="2694" w:type="dxa"/>
          </w:tcPr>
          <w:p w:rsidR="00403D1E" w:rsidRPr="00DD5D42" w:rsidRDefault="00403D1E" w:rsidP="00DB5E16">
            <w:pPr>
              <w:spacing w:line="480" w:lineRule="auto"/>
              <w:rPr>
                <w:rFonts w:cstheme="minorHAnsi"/>
                <w:color w:val="000000" w:themeColor="text1"/>
              </w:rPr>
            </w:pPr>
            <w:r w:rsidRPr="00DD5D42">
              <w:rPr>
                <w:rFonts w:cstheme="minorHAnsi"/>
                <w:color w:val="000000" w:themeColor="text1"/>
              </w:rPr>
              <w:t xml:space="preserve">Being a network member </w:t>
            </w:r>
          </w:p>
          <w:p w:rsidR="00403D1E" w:rsidRPr="00DD5D42" w:rsidRDefault="00403D1E" w:rsidP="00DB5E16">
            <w:pPr>
              <w:rPr>
                <w:color w:val="000000" w:themeColor="text1"/>
              </w:rPr>
            </w:pPr>
          </w:p>
        </w:tc>
        <w:tc>
          <w:tcPr>
            <w:tcW w:w="3575" w:type="dxa"/>
          </w:tcPr>
          <w:p w:rsidR="00403D1E" w:rsidRPr="00DD5D42" w:rsidRDefault="00403D1E" w:rsidP="00DB5E16">
            <w:pPr>
              <w:rPr>
                <w:rFonts w:cstheme="minorHAnsi"/>
              </w:rPr>
            </w:pPr>
            <w:r w:rsidRPr="00DD5D42">
              <w:rPr>
                <w:rFonts w:cstheme="minorHAnsi"/>
              </w:rPr>
              <w:t>“A team-feeling.” Phys01, Pos. 56</w:t>
            </w:r>
          </w:p>
          <w:p w:rsidR="005E58BA" w:rsidRPr="00DD5D42" w:rsidRDefault="005E58BA" w:rsidP="00DB5E16">
            <w:pPr>
              <w:rPr>
                <w:rFonts w:cstheme="minorHAnsi"/>
              </w:rPr>
            </w:pPr>
          </w:p>
          <w:p w:rsidR="005E58BA" w:rsidRPr="00DD5D42" w:rsidRDefault="005E58BA" w:rsidP="00DB5E16">
            <w:pPr>
              <w:rPr>
                <w:rFonts w:cstheme="minorHAnsi"/>
              </w:rPr>
            </w:pPr>
            <w:r w:rsidRPr="00DD5D42">
              <w:rPr>
                <w:rFonts w:cstheme="minorHAnsi"/>
              </w:rPr>
              <w:t>“To be together, we are stronger together!” Phys05, Pos. 28</w:t>
            </w:r>
          </w:p>
          <w:p w:rsidR="005E58BA" w:rsidRPr="00DD5D42" w:rsidRDefault="005E58BA" w:rsidP="00DB5E16">
            <w:pPr>
              <w:rPr>
                <w:rFonts w:cstheme="minorHAnsi"/>
              </w:rPr>
            </w:pPr>
          </w:p>
          <w:p w:rsidR="005E58BA" w:rsidRPr="00DD5D42" w:rsidRDefault="005E58BA" w:rsidP="00DB5E16">
            <w:pPr>
              <w:rPr>
                <w:rFonts w:cstheme="minorHAnsi"/>
              </w:rPr>
            </w:pPr>
            <w:r w:rsidRPr="00DD5D42">
              <w:rPr>
                <w:rFonts w:cstheme="minorHAnsi"/>
              </w:rPr>
              <w:t>“You are in a group, I think this is a little bit like our inner core that always looks for a partnership anywhere.” Sh04, Pos. 78</w:t>
            </w:r>
          </w:p>
          <w:p w:rsidR="00ED064C" w:rsidRPr="00DD5D42" w:rsidRDefault="00ED064C" w:rsidP="00DB5E16">
            <w:pPr>
              <w:rPr>
                <w:rFonts w:cstheme="minorHAnsi"/>
              </w:rPr>
            </w:pPr>
          </w:p>
          <w:p w:rsidR="00ED064C" w:rsidRPr="00DD5D42" w:rsidRDefault="00ED064C" w:rsidP="00DB5E16">
            <w:pPr>
              <w:rPr>
                <w:rFonts w:cstheme="minorHAnsi"/>
              </w:rPr>
            </w:pPr>
            <w:r w:rsidRPr="00DD5D42">
              <w:rPr>
                <w:rFonts w:cstheme="minorHAnsi"/>
              </w:rPr>
              <w:t>“Well, everybody has their own practice and will decide for themselves, but at least you have a platform for good exchange.” Phys27, Pos. 82</w:t>
            </w:r>
          </w:p>
          <w:p w:rsidR="00403D1E" w:rsidRPr="00DD5D42" w:rsidRDefault="00403D1E" w:rsidP="00DB5E16"/>
        </w:tc>
      </w:tr>
      <w:tr w:rsidR="00403D1E" w:rsidTr="00DB5E16">
        <w:tc>
          <w:tcPr>
            <w:tcW w:w="2943" w:type="dxa"/>
          </w:tcPr>
          <w:p w:rsidR="00403D1E" w:rsidRPr="00DD5D42" w:rsidRDefault="00403D1E" w:rsidP="00DB5E16"/>
        </w:tc>
        <w:tc>
          <w:tcPr>
            <w:tcW w:w="2694" w:type="dxa"/>
          </w:tcPr>
          <w:p w:rsidR="005E58BA" w:rsidRPr="00DD5D42" w:rsidRDefault="005E58BA" w:rsidP="00DB5E16">
            <w:pPr>
              <w:spacing w:line="480" w:lineRule="auto"/>
              <w:rPr>
                <w:rFonts w:cstheme="minorHAnsi"/>
                <w:color w:val="000000" w:themeColor="text1"/>
              </w:rPr>
            </w:pPr>
            <w:r w:rsidRPr="00DD5D42">
              <w:rPr>
                <w:rFonts w:cstheme="minorHAnsi"/>
                <w:color w:val="000000" w:themeColor="text1"/>
              </w:rPr>
              <w:t xml:space="preserve">Impacting care delivery </w:t>
            </w:r>
          </w:p>
          <w:p w:rsidR="00403D1E" w:rsidRPr="00DD5D42" w:rsidRDefault="00403D1E" w:rsidP="00DB5E16"/>
        </w:tc>
        <w:tc>
          <w:tcPr>
            <w:tcW w:w="3575" w:type="dxa"/>
          </w:tcPr>
          <w:p w:rsidR="005E58BA" w:rsidRPr="00DD5D42" w:rsidRDefault="005E58BA" w:rsidP="00DB5E16">
            <w:pPr>
              <w:rPr>
                <w:rFonts w:cstheme="minorHAnsi"/>
                <w:color w:val="000000" w:themeColor="text1"/>
              </w:rPr>
            </w:pPr>
            <w:r w:rsidRPr="00DD5D42">
              <w:rPr>
                <w:rFonts w:cstheme="minorHAnsi"/>
                <w:color w:val="000000" w:themeColor="text1"/>
              </w:rPr>
              <w:t xml:space="preserve">“Well, to ensure rural medical services and make sure patients can always come and we are here for them.” MA05, Pos. 56 </w:t>
            </w:r>
          </w:p>
          <w:p w:rsidR="00403D1E" w:rsidRPr="00DD5D42" w:rsidRDefault="00403D1E" w:rsidP="00DB5E16"/>
        </w:tc>
      </w:tr>
      <w:tr w:rsidR="00403D1E" w:rsidTr="00DB5E16">
        <w:tc>
          <w:tcPr>
            <w:tcW w:w="2943" w:type="dxa"/>
          </w:tcPr>
          <w:p w:rsidR="00403D1E" w:rsidRPr="00DD5D42" w:rsidRDefault="00403D1E" w:rsidP="00DB5E16"/>
        </w:tc>
        <w:tc>
          <w:tcPr>
            <w:tcW w:w="2694" w:type="dxa"/>
          </w:tcPr>
          <w:p w:rsidR="000B5BD9" w:rsidRPr="00DD5D42" w:rsidRDefault="000B5BD9" w:rsidP="00DB5E16">
            <w:pPr>
              <w:spacing w:line="480" w:lineRule="auto"/>
              <w:rPr>
                <w:rFonts w:cstheme="minorHAnsi"/>
                <w:color w:val="000000" w:themeColor="text1"/>
              </w:rPr>
            </w:pPr>
            <w:r w:rsidRPr="00DD5D42">
              <w:rPr>
                <w:rFonts w:cstheme="minorHAnsi"/>
                <w:color w:val="000000" w:themeColor="text1"/>
              </w:rPr>
              <w:t>Confirming own perspective</w:t>
            </w:r>
          </w:p>
          <w:p w:rsidR="00403D1E" w:rsidRPr="00DD5D42" w:rsidRDefault="00403D1E" w:rsidP="00DB5E16"/>
        </w:tc>
        <w:tc>
          <w:tcPr>
            <w:tcW w:w="3575" w:type="dxa"/>
          </w:tcPr>
          <w:p w:rsidR="00403D1E" w:rsidRDefault="000B5BD9" w:rsidP="00DB5E16">
            <w:pPr>
              <w:rPr>
                <w:rFonts w:cstheme="minorHAnsi"/>
              </w:rPr>
            </w:pPr>
            <w:r w:rsidRPr="00DD5D42">
              <w:rPr>
                <w:rFonts w:cstheme="minorHAnsi"/>
              </w:rPr>
              <w:t xml:space="preserve">“Such discussions are important to affirm the topic and confirm the own course of action. So, in a reflective discussion you learn how others act, how many use the same approach, do many use the same approach, where do you stand and fall in line, and this can be confirming or critical.” Phys21, Pos. 42 </w:t>
            </w:r>
          </w:p>
          <w:p w:rsidR="00DD5D42" w:rsidRPr="00DD5D42" w:rsidRDefault="00DD5D42" w:rsidP="00DB5E16"/>
        </w:tc>
      </w:tr>
      <w:tr w:rsidR="00403D1E" w:rsidTr="00DB5E16">
        <w:tc>
          <w:tcPr>
            <w:tcW w:w="2943" w:type="dxa"/>
          </w:tcPr>
          <w:p w:rsidR="000B5BD9" w:rsidRPr="00DD5D42" w:rsidRDefault="000B5BD9" w:rsidP="00DB5E16">
            <w:pPr>
              <w:spacing w:line="480" w:lineRule="auto"/>
              <w:rPr>
                <w:rFonts w:cstheme="minorHAnsi"/>
                <w:color w:val="000000" w:themeColor="text1"/>
              </w:rPr>
            </w:pPr>
            <w:r w:rsidRPr="00DD5D42">
              <w:rPr>
                <w:rFonts w:cstheme="minorHAnsi"/>
                <w:color w:val="000000" w:themeColor="text1"/>
              </w:rPr>
              <w:t>Social learning</w:t>
            </w:r>
          </w:p>
          <w:p w:rsidR="00403D1E" w:rsidRPr="00DD5D42" w:rsidRDefault="00403D1E" w:rsidP="00DB5E16">
            <w:pPr>
              <w:spacing w:line="480" w:lineRule="auto"/>
              <w:rPr>
                <w:color w:val="000000" w:themeColor="text1"/>
              </w:rPr>
            </w:pPr>
          </w:p>
        </w:tc>
        <w:tc>
          <w:tcPr>
            <w:tcW w:w="2694" w:type="dxa"/>
          </w:tcPr>
          <w:p w:rsidR="000B5BD9" w:rsidRPr="00DD5D42" w:rsidRDefault="000B5BD9" w:rsidP="00DB5E16">
            <w:pPr>
              <w:spacing w:line="480" w:lineRule="auto"/>
              <w:rPr>
                <w:rFonts w:cstheme="minorHAnsi"/>
                <w:color w:val="000000" w:themeColor="text1"/>
              </w:rPr>
            </w:pPr>
            <w:r w:rsidRPr="00DD5D42">
              <w:rPr>
                <w:rFonts w:cstheme="minorHAnsi"/>
                <w:color w:val="000000" w:themeColor="text1"/>
              </w:rPr>
              <w:t>Upskilling</w:t>
            </w:r>
          </w:p>
          <w:p w:rsidR="00403D1E" w:rsidRPr="00DD5D42" w:rsidRDefault="00403D1E" w:rsidP="00DB5E16">
            <w:pPr>
              <w:rPr>
                <w:color w:val="000000" w:themeColor="text1"/>
              </w:rPr>
            </w:pPr>
          </w:p>
        </w:tc>
        <w:tc>
          <w:tcPr>
            <w:tcW w:w="3575" w:type="dxa"/>
          </w:tcPr>
          <w:p w:rsidR="00403D1E" w:rsidRDefault="000B5BD9" w:rsidP="00DB5E16">
            <w:pPr>
              <w:rPr>
                <w:rFonts w:cstheme="minorHAnsi"/>
              </w:rPr>
            </w:pPr>
            <w:r w:rsidRPr="00DD5D42">
              <w:rPr>
                <w:rFonts w:cstheme="minorHAnsi"/>
              </w:rPr>
              <w:t>“We have solid structures in our network concerning continuing training.” Phys03, Pos. 54</w:t>
            </w:r>
          </w:p>
          <w:p w:rsidR="00DD5D42" w:rsidRPr="00DD5D42" w:rsidRDefault="00DD5D42" w:rsidP="00DB5E16"/>
        </w:tc>
      </w:tr>
      <w:tr w:rsidR="00403D1E" w:rsidTr="00DB5E16">
        <w:tc>
          <w:tcPr>
            <w:tcW w:w="2943" w:type="dxa"/>
          </w:tcPr>
          <w:p w:rsidR="000B5BD9" w:rsidRPr="000B5BD9" w:rsidRDefault="000B5BD9" w:rsidP="00DB5E16">
            <w:pPr>
              <w:spacing w:line="480" w:lineRule="auto"/>
              <w:rPr>
                <w:rFonts w:cstheme="minorHAnsi"/>
                <w:color w:val="000000" w:themeColor="text1"/>
                <w:sz w:val="24"/>
                <w:szCs w:val="24"/>
              </w:rPr>
            </w:pPr>
            <w:r w:rsidRPr="000B5BD9">
              <w:rPr>
                <w:rFonts w:cstheme="minorHAnsi"/>
                <w:color w:val="000000" w:themeColor="text1"/>
                <w:sz w:val="24"/>
                <w:szCs w:val="24"/>
              </w:rPr>
              <w:t xml:space="preserve">Social-normative pressures </w:t>
            </w:r>
          </w:p>
          <w:p w:rsidR="00403D1E" w:rsidRDefault="00403D1E" w:rsidP="00DB5E16">
            <w:pPr>
              <w:spacing w:line="480" w:lineRule="auto"/>
            </w:pPr>
          </w:p>
        </w:tc>
        <w:tc>
          <w:tcPr>
            <w:tcW w:w="2694" w:type="dxa"/>
          </w:tcPr>
          <w:p w:rsidR="000B5BD9" w:rsidRPr="000B5BD9" w:rsidRDefault="000B5BD9" w:rsidP="00DB5E16">
            <w:pPr>
              <w:spacing w:line="480" w:lineRule="auto"/>
              <w:rPr>
                <w:rFonts w:cstheme="minorHAnsi"/>
                <w:color w:val="000000" w:themeColor="text1"/>
                <w:sz w:val="24"/>
                <w:szCs w:val="24"/>
              </w:rPr>
            </w:pPr>
            <w:r w:rsidRPr="000B5BD9">
              <w:rPr>
                <w:rFonts w:cstheme="minorHAnsi"/>
                <w:color w:val="000000" w:themeColor="text1"/>
                <w:sz w:val="24"/>
                <w:szCs w:val="24"/>
              </w:rPr>
              <w:t xml:space="preserve">Shared network attitude </w:t>
            </w:r>
          </w:p>
          <w:p w:rsidR="00403D1E" w:rsidRPr="000B5BD9" w:rsidRDefault="00403D1E" w:rsidP="00DB5E16">
            <w:pPr>
              <w:rPr>
                <w:color w:val="000000" w:themeColor="text1"/>
              </w:rPr>
            </w:pPr>
          </w:p>
        </w:tc>
        <w:tc>
          <w:tcPr>
            <w:tcW w:w="3575" w:type="dxa"/>
          </w:tcPr>
          <w:p w:rsidR="00403D1E" w:rsidRDefault="000B5BD9" w:rsidP="00DB5E16">
            <w:r w:rsidRPr="00DB7EDF">
              <w:rPr>
                <w:rFonts w:cstheme="minorHAnsi"/>
                <w:sz w:val="24"/>
                <w:szCs w:val="24"/>
              </w:rPr>
              <w:t>“We are simply a care network that is not after the money</w:t>
            </w:r>
            <w:r>
              <w:rPr>
                <w:rFonts w:cstheme="minorHAnsi"/>
                <w:sz w:val="24"/>
                <w:szCs w:val="24"/>
              </w:rPr>
              <w:t>.</w:t>
            </w:r>
            <w:r w:rsidRPr="00DB7EDF">
              <w:rPr>
                <w:rFonts w:cstheme="minorHAnsi"/>
                <w:sz w:val="24"/>
                <w:szCs w:val="24"/>
              </w:rPr>
              <w:t xml:space="preserve">” </w:t>
            </w:r>
          </w:p>
        </w:tc>
      </w:tr>
      <w:tr w:rsidR="00403D1E" w:rsidTr="00DB5E16">
        <w:tc>
          <w:tcPr>
            <w:tcW w:w="2943" w:type="dxa"/>
          </w:tcPr>
          <w:p w:rsidR="00403D1E" w:rsidRDefault="00403D1E" w:rsidP="00DB5E16"/>
        </w:tc>
        <w:tc>
          <w:tcPr>
            <w:tcW w:w="2694" w:type="dxa"/>
          </w:tcPr>
          <w:p w:rsidR="00403D1E" w:rsidRDefault="00403D1E" w:rsidP="00DB5E16"/>
        </w:tc>
        <w:tc>
          <w:tcPr>
            <w:tcW w:w="3575" w:type="dxa"/>
          </w:tcPr>
          <w:p w:rsidR="00403D1E" w:rsidRPr="00DD5D42" w:rsidRDefault="004962B7" w:rsidP="00DB5E16">
            <w:r w:rsidRPr="00DD5D42">
              <w:rPr>
                <w:rFonts w:cstheme="minorHAnsi"/>
                <w:color w:val="000000" w:themeColor="text1"/>
              </w:rPr>
              <w:t xml:space="preserve">“We have been holding quality circles for the last 20 years anyway. We built a network on this. We are always the same group sitting together and we all work pharma-independently.” Phys17, Pos. 16 </w:t>
            </w:r>
          </w:p>
        </w:tc>
      </w:tr>
      <w:tr w:rsidR="00403D1E" w:rsidRPr="00DD5D42" w:rsidTr="00DB5E16">
        <w:tc>
          <w:tcPr>
            <w:tcW w:w="2943" w:type="dxa"/>
          </w:tcPr>
          <w:p w:rsidR="00403D1E" w:rsidRPr="00DD5D42" w:rsidRDefault="00403D1E">
            <w:pPr>
              <w:rPr>
                <w:color w:val="000000" w:themeColor="text1"/>
              </w:rPr>
            </w:pPr>
          </w:p>
        </w:tc>
        <w:tc>
          <w:tcPr>
            <w:tcW w:w="2694" w:type="dxa"/>
          </w:tcPr>
          <w:p w:rsidR="004962B7" w:rsidRPr="00DD5D42" w:rsidRDefault="004962B7" w:rsidP="00DB5E16">
            <w:pPr>
              <w:spacing w:line="480" w:lineRule="auto"/>
              <w:rPr>
                <w:rFonts w:cstheme="minorHAnsi"/>
                <w:color w:val="000000" w:themeColor="text1"/>
              </w:rPr>
            </w:pPr>
            <w:r w:rsidRPr="00DD5D42">
              <w:rPr>
                <w:rFonts w:cstheme="minorHAnsi"/>
                <w:color w:val="000000" w:themeColor="text1"/>
              </w:rPr>
              <w:t>Management</w:t>
            </w:r>
          </w:p>
          <w:p w:rsidR="00403D1E" w:rsidRPr="00DD5D42" w:rsidRDefault="00403D1E" w:rsidP="00DB5E16">
            <w:pPr>
              <w:rPr>
                <w:color w:val="000000" w:themeColor="text1"/>
              </w:rPr>
            </w:pPr>
          </w:p>
        </w:tc>
        <w:tc>
          <w:tcPr>
            <w:tcW w:w="3575" w:type="dxa"/>
          </w:tcPr>
          <w:p w:rsidR="004962B7" w:rsidRPr="00DD5D42" w:rsidRDefault="004962B7" w:rsidP="00DB5E16">
            <w:r w:rsidRPr="00DD5D42">
              <w:rPr>
                <w:rFonts w:cstheme="minorHAnsi"/>
              </w:rPr>
              <w:lastRenderedPageBreak/>
              <w:t>“… aiming to produce a certain corporate identity.” Phy04, Pos. 36</w:t>
            </w:r>
          </w:p>
        </w:tc>
      </w:tr>
      <w:tr w:rsidR="00403D1E" w:rsidRPr="00DD5D42" w:rsidTr="00DB5E16">
        <w:tc>
          <w:tcPr>
            <w:tcW w:w="2943" w:type="dxa"/>
          </w:tcPr>
          <w:p w:rsidR="004962B7" w:rsidRPr="00DD5D42" w:rsidRDefault="004962B7" w:rsidP="00DB5E16">
            <w:pPr>
              <w:spacing w:line="480" w:lineRule="auto"/>
              <w:rPr>
                <w:rFonts w:cstheme="minorHAnsi"/>
                <w:color w:val="000000" w:themeColor="text1"/>
              </w:rPr>
            </w:pPr>
            <w:r w:rsidRPr="00DD5D42">
              <w:rPr>
                <w:rFonts w:cstheme="minorHAnsi"/>
                <w:color w:val="000000" w:themeColor="text1"/>
              </w:rPr>
              <w:t>Social contagion</w:t>
            </w:r>
          </w:p>
          <w:p w:rsidR="00403D1E" w:rsidRPr="00DD5D42" w:rsidRDefault="00403D1E" w:rsidP="004962B7">
            <w:pPr>
              <w:spacing w:line="480" w:lineRule="auto"/>
              <w:jc w:val="both"/>
            </w:pPr>
          </w:p>
        </w:tc>
        <w:tc>
          <w:tcPr>
            <w:tcW w:w="2694" w:type="dxa"/>
          </w:tcPr>
          <w:p w:rsidR="004962B7" w:rsidRPr="00DD5D42" w:rsidRDefault="004962B7" w:rsidP="00DB5E16">
            <w:pPr>
              <w:rPr>
                <w:rFonts w:cstheme="minorHAnsi"/>
                <w:color w:val="000000" w:themeColor="text1"/>
              </w:rPr>
            </w:pPr>
            <w:r w:rsidRPr="00DD5D42">
              <w:rPr>
                <w:rFonts w:cstheme="minorHAnsi"/>
                <w:color w:val="000000" w:themeColor="text1"/>
              </w:rPr>
              <w:t>Interacting and peer exchange</w:t>
            </w:r>
          </w:p>
          <w:p w:rsidR="00403D1E" w:rsidRPr="00DD5D42" w:rsidRDefault="00403D1E" w:rsidP="00DB5E16"/>
        </w:tc>
        <w:tc>
          <w:tcPr>
            <w:tcW w:w="3575" w:type="dxa"/>
          </w:tcPr>
          <w:p w:rsidR="004962B7" w:rsidRPr="00DD5D42" w:rsidRDefault="004962B7" w:rsidP="00DB5E16">
            <w:pPr>
              <w:rPr>
                <w:rFonts w:cstheme="minorHAnsi"/>
                <w:color w:val="000000"/>
              </w:rPr>
            </w:pPr>
            <w:r w:rsidRPr="00DD5D42">
              <w:rPr>
                <w:rFonts w:cstheme="minorHAnsi"/>
                <w:color w:val="000000"/>
              </w:rPr>
              <w:t>“I still think that the really decisive point is that we meet once a month. One evening, about three hours, and we can say – we are really proud to say - that 45 to 55 out of 65 physicians participate, so we can really achieve a lot, so we can really make sure almost all physicians are on the same page.” Phys04, Pos. 40</w:t>
            </w:r>
          </w:p>
          <w:p w:rsidR="00403D1E" w:rsidRPr="00DD5D42" w:rsidRDefault="00403D1E" w:rsidP="00DB5E16"/>
          <w:p w:rsidR="004962B7" w:rsidRPr="00DD5D42" w:rsidRDefault="004962B7" w:rsidP="00DB5E16">
            <w:pPr>
              <w:rPr>
                <w:rFonts w:cstheme="minorHAnsi"/>
                <w:color w:val="000000"/>
              </w:rPr>
            </w:pPr>
            <w:r w:rsidRPr="00DD5D42">
              <w:rPr>
                <w:rFonts w:cstheme="minorHAnsi"/>
                <w:color w:val="000000"/>
              </w:rPr>
              <w:t xml:space="preserve">“Regarding ARena, the network event we had was particularly interesting to me and the discussion with the colleagues there.” Phys21, Pos. 38 </w:t>
            </w:r>
          </w:p>
          <w:p w:rsidR="00ED064C" w:rsidRPr="00DD5D42" w:rsidRDefault="00ED064C" w:rsidP="00DB5E16">
            <w:pPr>
              <w:rPr>
                <w:rFonts w:cstheme="minorHAnsi"/>
                <w:color w:val="000000"/>
              </w:rPr>
            </w:pPr>
          </w:p>
          <w:p w:rsidR="004962B7" w:rsidRPr="00DD5D42" w:rsidRDefault="00ED064C" w:rsidP="00DB5E16">
            <w:r w:rsidRPr="00DD5D42">
              <w:rPr>
                <w:rFonts w:cstheme="minorHAnsi"/>
                <w:color w:val="000000"/>
              </w:rPr>
              <w:t>“And sometimes, I consciously use this network to hint something to certain colleagues who show a modus operandi I consider inappropriate, without having to face instant harassment.” Phys02, Pos. 20</w:t>
            </w:r>
          </w:p>
          <w:p w:rsidR="00ED064C" w:rsidRPr="00DD5D42" w:rsidRDefault="00ED064C" w:rsidP="00DB5E16"/>
        </w:tc>
      </w:tr>
      <w:tr w:rsidR="00ED064C" w:rsidRPr="00DD5D42" w:rsidTr="00DB5E16">
        <w:tc>
          <w:tcPr>
            <w:tcW w:w="2943" w:type="dxa"/>
          </w:tcPr>
          <w:p w:rsidR="00ED064C" w:rsidRPr="00DD5D42" w:rsidRDefault="00ED064C" w:rsidP="00ED064C"/>
        </w:tc>
        <w:tc>
          <w:tcPr>
            <w:tcW w:w="2694" w:type="dxa"/>
          </w:tcPr>
          <w:p w:rsidR="00ED064C" w:rsidRPr="00DD5D42" w:rsidRDefault="00ED064C" w:rsidP="00DB5E16">
            <w:r w:rsidRPr="00DD5D42">
              <w:t xml:space="preserve">Translating to peers and team </w:t>
            </w:r>
          </w:p>
        </w:tc>
        <w:tc>
          <w:tcPr>
            <w:tcW w:w="3575" w:type="dxa"/>
          </w:tcPr>
          <w:p w:rsidR="00ED064C" w:rsidRDefault="00ED064C" w:rsidP="00DB5E16">
            <w:r w:rsidRPr="00DD5D42">
              <w:t xml:space="preserve">“… in this case here, of course, it works because of structures, e.g. a primary care network where you have participants who represent an intersecting subset of the overall network and when you communicate and inform via projects, of course knowledge and information can get translated to a larger part of the network.” </w:t>
            </w:r>
            <w:r w:rsidRPr="00DD5D42">
              <w:br/>
              <w:t>Sh03, Pos. 80</w:t>
            </w:r>
          </w:p>
          <w:p w:rsidR="00320AF6" w:rsidRDefault="00320AF6" w:rsidP="00DB5E16"/>
          <w:p w:rsidR="00320AF6" w:rsidRPr="00320AF6" w:rsidRDefault="00320AF6" w:rsidP="00320AF6">
            <w:pPr>
              <w:rPr>
                <w:rFonts w:cstheme="minorHAnsi"/>
                <w:color w:val="000000" w:themeColor="text1"/>
              </w:rPr>
            </w:pPr>
            <w:r w:rsidRPr="00320AF6">
              <w:rPr>
                <w:rFonts w:cstheme="minorHAnsi"/>
                <w:color w:val="000000" w:themeColor="text1"/>
              </w:rPr>
              <w:t xml:space="preserve">“My colleague brings the information [to us]. And in turn she takes our ideas, developments, questions back to the quality circle.” MA10, Pos. 318 </w:t>
            </w:r>
          </w:p>
          <w:p w:rsidR="00320AF6" w:rsidRPr="00DD5D42" w:rsidRDefault="00320AF6" w:rsidP="00DB5E16"/>
          <w:p w:rsidR="00ED064C" w:rsidRPr="00DD5D42" w:rsidRDefault="00ED064C" w:rsidP="00DB5E16"/>
        </w:tc>
      </w:tr>
    </w:tbl>
    <w:p w:rsidR="00714E69" w:rsidRPr="00DD5D42" w:rsidRDefault="00714E69"/>
    <w:sectPr w:rsidR="00714E69" w:rsidRPr="00DD5D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69"/>
    <w:rsid w:val="0009483B"/>
    <w:rsid w:val="000B5BD9"/>
    <w:rsid w:val="00226755"/>
    <w:rsid w:val="00320AF6"/>
    <w:rsid w:val="00403D1E"/>
    <w:rsid w:val="004962B7"/>
    <w:rsid w:val="005E58BA"/>
    <w:rsid w:val="00714E69"/>
    <w:rsid w:val="00D369DF"/>
    <w:rsid w:val="00D94AF6"/>
    <w:rsid w:val="00DB5E16"/>
    <w:rsid w:val="00DD5D42"/>
    <w:rsid w:val="00ED0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7FB2"/>
  <w15:chartTrackingRefBased/>
  <w15:docId w15:val="{A35B5BB5-757F-441E-ACB9-94B509F9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4317403E</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Poß-Doering, Regina</dc:creator>
  <cp:keywords/>
  <dc:description/>
  <cp:lastModifiedBy>Poß-Doering, Regina</cp:lastModifiedBy>
  <cp:revision>3</cp:revision>
  <dcterms:created xsi:type="dcterms:W3CDTF">2020-01-15T12:20:00Z</dcterms:created>
  <dcterms:modified xsi:type="dcterms:W3CDTF">2020-02-24T08:17:00Z</dcterms:modified>
</cp:coreProperties>
</file>