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D8" w:rsidRPr="008378AB" w:rsidRDefault="001B59D8" w:rsidP="001B59D8">
      <w:pPr>
        <w:spacing w:line="480" w:lineRule="auto"/>
        <w:rPr>
          <w:rFonts w:ascii="Times New Roman" w:hAnsi="Times New Roman" w:cs="Times New Roman"/>
          <w:b/>
          <w:sz w:val="24"/>
          <w:szCs w:val="24"/>
          <w:lang w:val="en-GB"/>
        </w:rPr>
      </w:pPr>
      <w:r w:rsidRPr="008378AB">
        <w:rPr>
          <w:rFonts w:ascii="Times New Roman" w:hAnsi="Times New Roman" w:cs="Times New Roman"/>
          <w:b/>
          <w:sz w:val="24"/>
          <w:szCs w:val="24"/>
          <w:lang w:val="en-GB"/>
        </w:rPr>
        <w:t>Supplement</w:t>
      </w:r>
    </w:p>
    <w:p w:rsidR="001B59D8" w:rsidRPr="0010600C" w:rsidRDefault="001B59D8" w:rsidP="001B59D8">
      <w:pPr>
        <w:spacing w:line="480" w:lineRule="auto"/>
        <w:rPr>
          <w:rFonts w:ascii="Times New Roman" w:eastAsia="Times New Roman" w:hAnsi="Times New Roman" w:cs="Times New Roman"/>
          <w:sz w:val="24"/>
          <w:szCs w:val="24"/>
          <w:lang w:val="en-GB"/>
        </w:rPr>
      </w:pPr>
      <w:r w:rsidRPr="008378AB">
        <w:rPr>
          <w:rFonts w:ascii="Times New Roman" w:hAnsi="Times New Roman" w:cs="Times New Roman"/>
          <w:b/>
          <w:sz w:val="24"/>
          <w:szCs w:val="24"/>
          <w:lang w:val="en-GB"/>
        </w:rPr>
        <w:t>Supplementary table 1</w:t>
      </w:r>
      <w:r w:rsidRPr="0010600C">
        <w:rPr>
          <w:rFonts w:ascii="Times New Roman" w:hAnsi="Times New Roman" w:cs="Times New Roman"/>
          <w:sz w:val="24"/>
          <w:szCs w:val="24"/>
          <w:lang w:val="en-GB"/>
        </w:rPr>
        <w:t xml:space="preserve">: </w:t>
      </w:r>
      <w:r w:rsidRPr="0010600C">
        <w:rPr>
          <w:rFonts w:ascii="Times New Roman" w:eastAsia="Times New Roman" w:hAnsi="Times New Roman" w:cs="Times New Roman"/>
          <w:sz w:val="24"/>
          <w:szCs w:val="24"/>
          <w:lang w:val="en-GB"/>
        </w:rPr>
        <w:t xml:space="preserve">BMI adjusted and multivariate adjusted cox proportional hazard models for incident hypertension risk based on distributions of </w:t>
      </w:r>
      <w:r w:rsidRPr="008378AB">
        <w:rPr>
          <w:rFonts w:ascii="Times New Roman" w:eastAsia="Times New Roman" w:hAnsi="Times New Roman" w:cs="Times New Roman"/>
          <w:sz w:val="24"/>
          <w:szCs w:val="24"/>
          <w:lang w:val="en-GB"/>
        </w:rPr>
        <w:t xml:space="preserve">adapted </w:t>
      </w:r>
      <w:r w:rsidRPr="0010600C">
        <w:rPr>
          <w:rFonts w:ascii="Times New Roman" w:eastAsia="Times New Roman" w:hAnsi="Times New Roman" w:cs="Times New Roman"/>
          <w:sz w:val="24"/>
          <w:szCs w:val="24"/>
          <w:lang w:val="en-GB"/>
        </w:rPr>
        <w:t>dietary inflammatory index standardised to the study population.</w:t>
      </w:r>
    </w:p>
    <w:p w:rsidR="001B59D8" w:rsidRPr="0010600C" w:rsidRDefault="001B59D8" w:rsidP="001B59D8">
      <w:pPr>
        <w:spacing w:line="480" w:lineRule="auto"/>
        <w:rPr>
          <w:rFonts w:ascii="Times New Roman" w:eastAsia="Times New Roman" w:hAnsi="Times New Roman" w:cs="Times New Roman"/>
          <w:sz w:val="24"/>
          <w:szCs w:val="24"/>
          <w:lang w:val="en-GB"/>
        </w:rPr>
      </w:pPr>
      <w:r w:rsidRPr="0010600C">
        <w:rPr>
          <w:rFonts w:ascii="Times New Roman" w:eastAsia="Times New Roman" w:hAnsi="Times New Roman" w:cs="Times New Roman"/>
          <w:sz w:val="24"/>
          <w:szCs w:val="24"/>
          <w:lang w:val="en-GB"/>
        </w:rPr>
        <w:t>M0 with age as timescale; M1 adjusted for physical activity, smoking, family history of CVD, and education level; M2 M1 + diabetes and dyslipidaemia at baseline; M3 M2 + BMI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1316"/>
        <w:gridCol w:w="1316"/>
        <w:gridCol w:w="1316"/>
        <w:gridCol w:w="1316"/>
        <w:gridCol w:w="1316"/>
        <w:gridCol w:w="1316"/>
      </w:tblGrid>
      <w:tr w:rsidR="001B59D8" w:rsidRPr="0010600C" w:rsidTr="00F16B64">
        <w:trPr>
          <w:trHeight w:val="588"/>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Quintiles of DII</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Q1 (&lt; -2.7)</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9,331)</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Q2 (-2.7 - -0.5)</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9,330)</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Q3 (-0.5 – 1.3)</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9,330)</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Q4 (1.3 – 3.0)</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9,330)</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Q5 (&gt; 3.0)</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9,331)</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P for trend</w:t>
            </w:r>
          </w:p>
        </w:tc>
      </w:tr>
      <w:tr w:rsidR="001B59D8" w:rsidRPr="0010600C" w:rsidTr="00F16B64">
        <w:trPr>
          <w:trHeight w:val="588"/>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Cases</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2,697</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2,699</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2,664</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2,555</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2,568</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p>
        </w:tc>
      </w:tr>
      <w:tr w:rsidR="001B59D8" w:rsidRPr="0010600C" w:rsidTr="00F16B64">
        <w:trPr>
          <w:trHeight w:val="588"/>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Person years</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175,873</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176,292</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176,738</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177,652</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177,712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b/>
                <w:sz w:val="24"/>
                <w:szCs w:val="24"/>
                <w:lang w:val="en-GB" w:eastAsia="fr-FR"/>
              </w:rPr>
            </w:pPr>
          </w:p>
        </w:tc>
      </w:tr>
      <w:tr w:rsidR="001B59D8" w:rsidRPr="0010600C" w:rsidTr="00F16B64">
        <w:trPr>
          <w:trHeight w:val="588"/>
        </w:trPr>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1.00 [0.95: 1.06]</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0.99 [0.94: 1.05]</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0.98 [0.92: 1.03]</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1.01 [0.96: 1.07]</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w:t>
            </w:r>
            <w:r w:rsidRPr="0010600C">
              <w:rPr>
                <w:rFonts w:ascii="Times New Roman" w:eastAsia="Times New Roman" w:hAnsi="Times New Roman" w:cs="Times New Roman"/>
                <w:sz w:val="24"/>
                <w:szCs w:val="24"/>
                <w:lang w:val="en-GB" w:eastAsia="fr-FR"/>
              </w:rPr>
              <w:t>14</w:t>
            </w:r>
          </w:p>
        </w:tc>
      </w:tr>
      <w:tr w:rsidR="001B59D8" w:rsidRPr="0010600C" w:rsidTr="00F16B64">
        <w:trPr>
          <w:trHeight w:val="588"/>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M1</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0.99 [0.94: 1.05]</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0.98 [0.93: 1.03]</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0.94 [0.89: 1.00]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0.96 [0.91: 1.01]</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0.03</w:t>
            </w:r>
          </w:p>
        </w:tc>
      </w:tr>
      <w:tr w:rsidR="001B59D8" w:rsidRPr="0010600C" w:rsidTr="00F16B64">
        <w:trPr>
          <w:trHeight w:val="588"/>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M2</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1.00 [0.95: 1.05]</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0.99 [0.94: 1.05]</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0.98 [0.92: 1.03]</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1.01 [0.95: 1.06]</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0.12</w:t>
            </w:r>
          </w:p>
        </w:tc>
      </w:tr>
      <w:tr w:rsidR="001B59D8" w:rsidRPr="0010600C" w:rsidTr="00F16B64">
        <w:trPr>
          <w:trHeight w:val="588"/>
        </w:trPr>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M3</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1.03 [0.97: 1.09]</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1.04 [0.99: 1.10]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1.04 [0.99: 1.10]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1.09 [1.03: 1.16]</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0.02</w:t>
            </w:r>
          </w:p>
        </w:tc>
      </w:tr>
    </w:tbl>
    <w:p w:rsidR="001B59D8" w:rsidRPr="0010600C" w:rsidRDefault="001B59D8" w:rsidP="001B59D8">
      <w:pPr>
        <w:spacing w:line="480" w:lineRule="auto"/>
        <w:rPr>
          <w:rFonts w:ascii="Times New Roman" w:hAnsi="Times New Roman" w:cs="Times New Roman"/>
          <w:sz w:val="24"/>
          <w:szCs w:val="24"/>
          <w:lang w:val="en-GB"/>
        </w:rPr>
      </w:pPr>
    </w:p>
    <w:p w:rsidR="001B59D8" w:rsidRPr="0010600C" w:rsidRDefault="001B59D8" w:rsidP="001B59D8">
      <w:pPr>
        <w:spacing w:line="480" w:lineRule="auto"/>
        <w:rPr>
          <w:rFonts w:ascii="Times New Roman" w:hAnsi="Times New Roman" w:cs="Times New Roman"/>
          <w:sz w:val="24"/>
          <w:szCs w:val="24"/>
          <w:lang w:val="en-GB"/>
        </w:rPr>
      </w:pPr>
      <w:r w:rsidRPr="0010600C">
        <w:rPr>
          <w:rFonts w:ascii="Times New Roman" w:hAnsi="Times New Roman" w:cs="Times New Roman"/>
          <w:sz w:val="24"/>
          <w:szCs w:val="24"/>
          <w:lang w:val="en-GB"/>
        </w:rPr>
        <w:br w:type="page"/>
      </w:r>
    </w:p>
    <w:p w:rsidR="001B59D8" w:rsidRPr="0010600C" w:rsidRDefault="001B59D8" w:rsidP="001B59D8">
      <w:pPr>
        <w:spacing w:line="480" w:lineRule="auto"/>
        <w:rPr>
          <w:rFonts w:ascii="Times New Roman" w:eastAsia="Times New Roman" w:hAnsi="Times New Roman" w:cs="Times New Roman"/>
          <w:sz w:val="24"/>
          <w:szCs w:val="24"/>
          <w:lang w:val="en-GB"/>
        </w:rPr>
      </w:pPr>
      <w:r w:rsidRPr="008378AB">
        <w:rPr>
          <w:rFonts w:ascii="Times New Roman" w:hAnsi="Times New Roman" w:cs="Times New Roman"/>
          <w:b/>
          <w:sz w:val="24"/>
          <w:szCs w:val="24"/>
          <w:lang w:val="en-GB"/>
        </w:rPr>
        <w:lastRenderedPageBreak/>
        <w:t>Supplementary</w:t>
      </w:r>
      <w:r w:rsidRPr="0010600C">
        <w:rPr>
          <w:rFonts w:ascii="Times New Roman" w:hAnsi="Times New Roman" w:cs="Times New Roman"/>
          <w:sz w:val="24"/>
          <w:szCs w:val="24"/>
          <w:lang w:val="en-GB"/>
        </w:rPr>
        <w:t xml:space="preserve"> </w:t>
      </w:r>
      <w:r w:rsidRPr="0010600C">
        <w:rPr>
          <w:rFonts w:ascii="Times New Roman" w:eastAsia="Times New Roman" w:hAnsi="Times New Roman" w:cs="Times New Roman"/>
          <w:b/>
          <w:sz w:val="24"/>
          <w:szCs w:val="24"/>
          <w:lang w:val="en-GB"/>
        </w:rPr>
        <w:t>Table 2</w:t>
      </w:r>
      <w:r w:rsidRPr="0010600C">
        <w:rPr>
          <w:rFonts w:ascii="Times New Roman" w:eastAsia="Times New Roman" w:hAnsi="Times New Roman" w:cs="Times New Roman"/>
          <w:sz w:val="24"/>
          <w:szCs w:val="24"/>
          <w:lang w:val="en-GB"/>
        </w:rPr>
        <w:t xml:space="preserve">: BMI adjusted and multivariate adjusted cox proportional hazard models for incident hypertension risk based on distributions of “non-adapted” dietary inflammatory index, according to the method of </w:t>
      </w:r>
      <w:proofErr w:type="spellStart"/>
      <w:r w:rsidRPr="0010600C">
        <w:rPr>
          <w:rFonts w:ascii="Times New Roman" w:eastAsia="Times New Roman" w:hAnsi="Times New Roman" w:cs="Times New Roman"/>
          <w:sz w:val="24"/>
          <w:szCs w:val="24"/>
          <w:lang w:val="en-GB"/>
        </w:rPr>
        <w:t>Shivappa</w:t>
      </w:r>
      <w:proofErr w:type="spellEnd"/>
      <w:r w:rsidRPr="0010600C">
        <w:rPr>
          <w:rFonts w:ascii="Times New Roman" w:eastAsia="Times New Roman" w:hAnsi="Times New Roman" w:cs="Times New Roman"/>
          <w:sz w:val="24"/>
          <w:szCs w:val="24"/>
          <w:lang w:val="en-GB"/>
        </w:rPr>
        <w:t xml:space="preserve"> </w:t>
      </w:r>
      <w:r w:rsidRPr="008378AB">
        <w:rPr>
          <w:rFonts w:ascii="Times New Roman" w:eastAsia="Times New Roman" w:hAnsi="Times New Roman" w:cs="Times New Roman"/>
          <w:sz w:val="24"/>
          <w:szCs w:val="24"/>
          <w:lang w:val="en-GB"/>
        </w:rPr>
        <w:fldChar w:fldCharType="begin"/>
      </w:r>
      <w:r w:rsidRPr="0010600C">
        <w:rPr>
          <w:rFonts w:ascii="Times New Roman" w:eastAsia="Times New Roman" w:hAnsi="Times New Roman" w:cs="Times New Roman"/>
          <w:sz w:val="24"/>
          <w:szCs w:val="24"/>
          <w:lang w:val="en-GB"/>
        </w:rPr>
        <w:instrText xml:space="preserve"> ADDIN ZOTERO_ITEM CSL_CITATION {"citationID":"BZHjGjLR","properties":{"formattedCitation":"(35)","plainCitation":"(35)","noteIndex":0},"citationItems":[{"id":591,"uris":["http://zotero.org/users/5758494/items/8HWUYCQK"],"uri":["http://zotero.org/users/5758494/items/8HWUYCQK"],"itemData":{"id":591,"type":"article-journal","title":"Designing and developing a literature-derived, population-based dietary inflammatory index","container-title":"Public Health Nutrition","page":"1689-1696","volume":"17","issue":"8","source":"DOI.org (Crossref)","abstract":"Abstract\n            \n              Objective\n              To design and develop a literature-derived, population-based dietary inflammatory index (DII) to compare diverse populations on the inflammatory potential of their diets.\n            \n            \n              Design\n              Peer-reviewed primary research articles published through December 2010 on the effect of diet on inflammation were screened for possible inclusion in the DII scoring algorithm. Qualifying articles were scored according to whether each dietary parameter increased (+1), decreased (−1) or had no (0) effect on six inflammatory biomarkers: IL-1β, IL-4, IL-6, IL-10, TNF-α and C-reactive protein.\n            \n            \n              Setting\n              The Dietary Inflammatory Index Development Study was conducted in the Cancer Prevention and Control Program of the University of South Carolina in Columbia, SC, USA from 2011 to 2012.\n            \n            \n              Results\n              \n                A total of ≈6500 articles published through December 2010 on the effect of dietary parameters on the six inflammatory markers were screened for inclusion in the DII scoring algorithm. Eleven food consumption data sets from countries around the world were identified that allowed individuals’ intakes to be expressed relative to the range of intakes of the forty-five food parameters observed across these diverse populations. Qualifying articles (\n                n\n                1943) were read and scored based on the forty-five pro- and anti-inflammatory food parameters identified in the search. When fit to this composite global database, the DII score of the maximally pro-inflammatory diet was +7·98, the maximally anti-inflammatory DII score was −8·87 and the median was +0·23.\n              \n            \n            \n              Conclusions\n              The DII reflects both a robust literature base and standardization of individual intakes to global referent values. The success of this first-of-a-kind attempt at relating intakes of inflammation-modulating foods relative to global norms sets the stage for use of the DII in a wide variety of epidemiological and clinical studies.","DOI":"10.1017/S1368980013002115","ISSN":"1368-9800, 1475-2727","journalAbbreviation":"Public Health Nutr.","language":"en","author":[{"family":"Shivappa","given":"Nitin"},{"family":"Steck","given":"Susan E"},{"family":"Hurley","given":"Thomas G"},{"family":"Hussey","given":"James R"},{"family":"Hébert","given":"James R"}],"issued":{"date-parts":[["2014",8]]}}}],"schema":"https://github.com/citation-style-language/schema/raw/master/csl-citation.json"} </w:instrText>
      </w:r>
      <w:r w:rsidRPr="008378AB">
        <w:rPr>
          <w:rFonts w:ascii="Times New Roman" w:eastAsia="Times New Roman" w:hAnsi="Times New Roman" w:cs="Times New Roman"/>
          <w:sz w:val="24"/>
          <w:szCs w:val="24"/>
          <w:lang w:val="en-GB"/>
        </w:rPr>
        <w:fldChar w:fldCharType="separate"/>
      </w:r>
      <w:r w:rsidRPr="008378AB">
        <w:rPr>
          <w:rFonts w:ascii="Times New Roman" w:hAnsi="Times New Roman" w:cs="Times New Roman"/>
          <w:sz w:val="24"/>
          <w:lang w:val="en-GB"/>
        </w:rPr>
        <w:t>(35)</w:t>
      </w:r>
      <w:r w:rsidRPr="008378AB">
        <w:rPr>
          <w:rFonts w:ascii="Times New Roman" w:eastAsia="Times New Roman" w:hAnsi="Times New Roman" w:cs="Times New Roman"/>
          <w:sz w:val="24"/>
          <w:szCs w:val="24"/>
          <w:lang w:val="en-GB"/>
        </w:rPr>
        <w:fldChar w:fldCharType="end"/>
      </w:r>
      <w:r w:rsidRPr="0010600C">
        <w:rPr>
          <w:rFonts w:ascii="Times New Roman" w:eastAsia="Times New Roman" w:hAnsi="Times New Roman" w:cs="Times New Roman"/>
          <w:sz w:val="24"/>
          <w:szCs w:val="24"/>
          <w:lang w:val="en-GB"/>
        </w:rPr>
        <w:t>.</w:t>
      </w:r>
    </w:p>
    <w:p w:rsidR="001B59D8" w:rsidRPr="0010600C" w:rsidRDefault="001B59D8" w:rsidP="001B59D8">
      <w:pPr>
        <w:spacing w:line="480" w:lineRule="auto"/>
        <w:rPr>
          <w:rFonts w:ascii="Times New Roman" w:eastAsia="Times New Roman" w:hAnsi="Times New Roman" w:cs="Times New Roman"/>
          <w:sz w:val="24"/>
          <w:szCs w:val="24"/>
          <w:lang w:val="en-GB"/>
        </w:rPr>
      </w:pPr>
      <w:r w:rsidRPr="0010600C">
        <w:rPr>
          <w:rFonts w:ascii="Times New Roman" w:eastAsia="Times New Roman" w:hAnsi="Times New Roman" w:cs="Times New Roman"/>
          <w:sz w:val="24"/>
          <w:szCs w:val="24"/>
          <w:lang w:val="en-GB"/>
        </w:rPr>
        <w:t>M0 with age as timescale; M1 adjusted for physical activity, smoking, family history of CVD, total calories, and education level; M2 M1 + diabetes and dyslipidaemia at baseline; M3 M2 + BMI</w:t>
      </w: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1428"/>
        <w:gridCol w:w="1428"/>
        <w:gridCol w:w="1428"/>
        <w:gridCol w:w="1428"/>
        <w:gridCol w:w="1428"/>
        <w:gridCol w:w="1428"/>
      </w:tblGrid>
      <w:tr w:rsidR="001B59D8" w:rsidRPr="0010600C" w:rsidTr="00F16B64">
        <w:trPr>
          <w:trHeight w:val="592"/>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Quintiles of DII</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Q1 (&lt; -2.7)</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9,331)</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Q2 (-2.7 - -0.4)</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9,330)</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Q3 (-0.4 – 1.3)</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9,330)</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Q4 (1.3 – 3.0)</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9,330)</w:t>
            </w:r>
          </w:p>
        </w:tc>
        <w:tc>
          <w:tcPr>
            <w:tcW w:w="714" w:type="pct"/>
            <w:tcBorders>
              <w:top w:val="single" w:sz="4" w:space="0" w:color="auto"/>
              <w:left w:val="single" w:sz="4" w:space="0" w:color="auto"/>
              <w:bottom w:val="single" w:sz="4" w:space="0" w:color="auto"/>
              <w:right w:val="single" w:sz="4" w:space="0" w:color="auto"/>
            </w:tcBorders>
            <w:hideMark/>
          </w:tcPr>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Q5 (&gt; 3.0)</w:t>
            </w:r>
          </w:p>
          <w:p w:rsidR="001B59D8" w:rsidRPr="0010600C" w:rsidRDefault="001B59D8" w:rsidP="00F16B64">
            <w:pPr>
              <w:spacing w:line="480" w:lineRule="auto"/>
              <w:jc w:val="center"/>
              <w:rPr>
                <w:rFonts w:ascii="Times New Roman" w:hAnsi="Times New Roman" w:cs="Times New Roman"/>
                <w:b/>
                <w:sz w:val="24"/>
                <w:szCs w:val="24"/>
              </w:rPr>
            </w:pPr>
            <w:r w:rsidRPr="0010600C">
              <w:rPr>
                <w:rFonts w:ascii="Times New Roman" w:hAnsi="Times New Roman" w:cs="Times New Roman"/>
                <w:b/>
                <w:sz w:val="24"/>
                <w:szCs w:val="24"/>
              </w:rPr>
              <w:t>(n = 9,331)</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P for trend</w:t>
            </w:r>
          </w:p>
        </w:tc>
      </w:tr>
      <w:tr w:rsidR="001B59D8" w:rsidRPr="0010600C" w:rsidTr="00F16B64">
        <w:trPr>
          <w:trHeight w:val="592"/>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Cases</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2,706</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2,697</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2,583</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2,568</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2,565</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p>
        </w:tc>
      </w:tr>
      <w:tr w:rsidR="001B59D8" w:rsidRPr="0010600C" w:rsidTr="00F16B64">
        <w:trPr>
          <w:trHeight w:val="592"/>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Person years</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173,855</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175,138</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176,262</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175,993</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175,773</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b/>
                <w:sz w:val="24"/>
                <w:szCs w:val="24"/>
                <w:lang w:val="en-GB" w:eastAsia="fr-FR"/>
              </w:rPr>
            </w:pPr>
          </w:p>
        </w:tc>
      </w:tr>
      <w:tr w:rsidR="001B59D8" w:rsidRPr="0010600C" w:rsidTr="00F16B64">
        <w:trPr>
          <w:trHeight w:val="592"/>
        </w:trPr>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0.99 [0.94: 1.04]</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0.94 [0.89: 1.00]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0.94 [0.89: 0.99]</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0.94 [0.89: 0.99]</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0.002</w:t>
            </w:r>
          </w:p>
        </w:tc>
      </w:tr>
      <w:tr w:rsidR="001B59D8" w:rsidRPr="0010600C" w:rsidTr="00F16B64">
        <w:trPr>
          <w:trHeight w:val="592"/>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M1</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0.99 [0.94: 1.04]</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0.94 [0.89: 1.00]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0.94 [0.88: 1.00]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0.94 [0.88: 1.00]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b/>
                <w:sz w:val="24"/>
                <w:szCs w:val="24"/>
                <w:lang w:val="en-GB" w:eastAsia="fr-FR"/>
              </w:rPr>
            </w:pPr>
            <w:r w:rsidRPr="008378AB">
              <w:rPr>
                <w:rFonts w:ascii="Times New Roman" w:eastAsia="Times New Roman" w:hAnsi="Times New Roman" w:cs="Times New Roman"/>
                <w:b/>
                <w:sz w:val="24"/>
                <w:szCs w:val="24"/>
                <w:lang w:val="en-GB" w:eastAsia="fr-FR"/>
              </w:rPr>
              <w:t>0.02</w:t>
            </w:r>
          </w:p>
        </w:tc>
      </w:tr>
      <w:tr w:rsidR="001B59D8" w:rsidRPr="0010600C" w:rsidTr="00F16B64">
        <w:trPr>
          <w:trHeight w:val="592"/>
        </w:trPr>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M2</w:t>
            </w:r>
          </w:p>
        </w:tc>
        <w:tc>
          <w:tcPr>
            <w:tcW w:w="714" w:type="pct"/>
            <w:tcBorders>
              <w:top w:val="single" w:sz="4" w:space="0" w:color="auto"/>
              <w:left w:val="single" w:sz="4" w:space="0" w:color="auto"/>
              <w:bottom w:val="single" w:sz="4" w:space="0" w:color="auto"/>
              <w:right w:val="single" w:sz="4" w:space="0" w:color="auto"/>
            </w:tcBorders>
            <w:vAlign w:val="center"/>
            <w:hideMark/>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1.00 [0.94: 1.05]</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0.95 [0.90: 1.01]</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0.95 [0.90: 1.01]</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0.96 [0.90: 1.02]</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0.07</w:t>
            </w:r>
          </w:p>
        </w:tc>
      </w:tr>
      <w:tr w:rsidR="001B59D8" w:rsidRPr="0010600C" w:rsidTr="00F16B64">
        <w:trPr>
          <w:trHeight w:val="592"/>
        </w:trPr>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M3</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i/>
                <w:sz w:val="24"/>
                <w:szCs w:val="24"/>
                <w:lang w:val="en-GB" w:eastAsia="fr-FR"/>
              </w:rPr>
            </w:pPr>
            <w:r w:rsidRPr="008378AB">
              <w:rPr>
                <w:rFonts w:ascii="Times New Roman" w:eastAsia="Times New Roman" w:hAnsi="Times New Roman" w:cs="Times New Roman"/>
                <w:i/>
                <w:sz w:val="24"/>
                <w:szCs w:val="24"/>
                <w:lang w:val="en-GB" w:eastAsia="fr-FR"/>
              </w:rPr>
              <w:t>ref</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1.04 [0.98: 1.09]</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1.02 [0.96: 1.08]</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1.04 [0.98: 1.10]</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1.07 [1.01: 1.14]</w:t>
            </w:r>
          </w:p>
        </w:tc>
        <w:tc>
          <w:tcPr>
            <w:tcW w:w="714" w:type="pct"/>
            <w:tcBorders>
              <w:top w:val="single" w:sz="4" w:space="0" w:color="auto"/>
              <w:left w:val="single" w:sz="4" w:space="0" w:color="auto"/>
              <w:bottom w:val="single" w:sz="4" w:space="0" w:color="auto"/>
              <w:right w:val="single" w:sz="4" w:space="0" w:color="auto"/>
            </w:tcBorders>
            <w:vAlign w:val="center"/>
          </w:tcPr>
          <w:p w:rsidR="001B59D8" w:rsidRPr="008378AB" w:rsidRDefault="001B59D8" w:rsidP="00F16B64">
            <w:pPr>
              <w:spacing w:after="0" w:line="480" w:lineRule="auto"/>
              <w:jc w:val="center"/>
              <w:rPr>
                <w:rFonts w:ascii="Times New Roman" w:eastAsia="Times New Roman" w:hAnsi="Times New Roman" w:cs="Times New Roman"/>
                <w:sz w:val="24"/>
                <w:szCs w:val="24"/>
                <w:lang w:val="en-GB" w:eastAsia="fr-FR"/>
              </w:rPr>
            </w:pPr>
            <w:r w:rsidRPr="008378AB">
              <w:rPr>
                <w:rFonts w:ascii="Times New Roman" w:eastAsia="Times New Roman" w:hAnsi="Times New Roman" w:cs="Times New Roman"/>
                <w:sz w:val="24"/>
                <w:szCs w:val="24"/>
                <w:lang w:val="en-GB" w:eastAsia="fr-FR"/>
              </w:rPr>
              <w:t>0.06</w:t>
            </w:r>
          </w:p>
        </w:tc>
      </w:tr>
    </w:tbl>
    <w:p w:rsidR="001B59D8" w:rsidRPr="0010600C" w:rsidRDefault="001B59D8" w:rsidP="001B59D8">
      <w:pPr>
        <w:spacing w:line="480" w:lineRule="auto"/>
        <w:rPr>
          <w:rFonts w:ascii="Times New Roman" w:hAnsi="Times New Roman" w:cs="Times New Roman"/>
          <w:sz w:val="24"/>
          <w:szCs w:val="24"/>
          <w:lang w:val="en-GB"/>
        </w:rPr>
      </w:pPr>
    </w:p>
    <w:p w:rsidR="00CB25DE" w:rsidRDefault="00CB25DE">
      <w:bookmarkStart w:id="0" w:name="_GoBack"/>
      <w:bookmarkEnd w:id="0"/>
    </w:p>
    <w:sectPr w:rsidR="00CB25DE" w:rsidSect="008378AB">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D8"/>
    <w:rsid w:val="001B59D8"/>
    <w:rsid w:val="00CB2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B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B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MacDonald</dc:creator>
  <cp:lastModifiedBy>Conor MacDonald</cp:lastModifiedBy>
  <cp:revision>1</cp:revision>
  <dcterms:created xsi:type="dcterms:W3CDTF">2020-01-15T11:02:00Z</dcterms:created>
  <dcterms:modified xsi:type="dcterms:W3CDTF">2020-01-15T11:02:00Z</dcterms:modified>
</cp:coreProperties>
</file>