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A43E" w14:textId="77777777" w:rsidR="0067466B" w:rsidRDefault="0067466B" w:rsidP="0067466B">
      <w:pPr>
        <w:spacing w:line="480" w:lineRule="auto"/>
        <w:rPr>
          <w:color w:val="000000" w:themeColor="text1"/>
        </w:rPr>
      </w:pPr>
    </w:p>
    <w:p w14:paraId="0FE0AAF4" w14:textId="77777777" w:rsidR="0067466B" w:rsidRDefault="0067466B" w:rsidP="0067466B">
      <w:pPr>
        <w:spacing w:line="480" w:lineRule="auto"/>
        <w:rPr>
          <w:color w:val="000000" w:themeColor="text1"/>
        </w:rPr>
      </w:pPr>
    </w:p>
    <w:p w14:paraId="390B109B" w14:textId="77777777" w:rsidR="0067466B" w:rsidRDefault="0067466B" w:rsidP="0067466B">
      <w:pPr>
        <w:spacing w:line="480" w:lineRule="auto"/>
        <w:rPr>
          <w:color w:val="000000" w:themeColor="text1"/>
        </w:rPr>
      </w:pPr>
    </w:p>
    <w:p w14:paraId="7888EC76" w14:textId="77777777" w:rsidR="0067466B" w:rsidRPr="007E5916" w:rsidRDefault="0067466B" w:rsidP="0067466B">
      <w:pPr>
        <w:spacing w:line="480" w:lineRule="auto"/>
        <w:rPr>
          <w:color w:val="000000" w:themeColor="text1"/>
        </w:rPr>
      </w:pPr>
    </w:p>
    <w:tbl>
      <w:tblPr>
        <w:tblStyle w:val="GridTable5Dark-Accent51"/>
        <w:tblpPr w:leftFromText="180" w:rightFromText="180" w:vertAnchor="text" w:horzAnchor="page" w:tblpX="561" w:tblpY="10"/>
        <w:tblW w:w="11073" w:type="dxa"/>
        <w:tblLayout w:type="fixed"/>
        <w:tblLook w:val="04A0" w:firstRow="1" w:lastRow="0" w:firstColumn="1" w:lastColumn="0" w:noHBand="0" w:noVBand="1"/>
      </w:tblPr>
      <w:tblGrid>
        <w:gridCol w:w="787"/>
        <w:gridCol w:w="790"/>
        <w:gridCol w:w="791"/>
        <w:gridCol w:w="923"/>
        <w:gridCol w:w="923"/>
        <w:gridCol w:w="924"/>
        <w:gridCol w:w="1187"/>
        <w:gridCol w:w="1582"/>
        <w:gridCol w:w="1584"/>
        <w:gridCol w:w="1582"/>
      </w:tblGrid>
      <w:tr w:rsidR="0067466B" w:rsidRPr="000242D4" w14:paraId="07EBA101" w14:textId="77777777" w:rsidTr="00E52740">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87" w:type="dxa"/>
            <w:vMerge w:val="restart"/>
          </w:tcPr>
          <w:p w14:paraId="37E4691F" w14:textId="77777777" w:rsidR="0067466B" w:rsidRPr="000242D4" w:rsidRDefault="0067466B" w:rsidP="00E52740">
            <w:pPr>
              <w:jc w:val="both"/>
              <w:rPr>
                <w:rFonts w:asciiTheme="majorHAnsi" w:hAnsiTheme="majorHAnsi" w:cstheme="majorHAnsi"/>
                <w:color w:val="000000" w:themeColor="text1"/>
                <w:sz w:val="16"/>
                <w:szCs w:val="16"/>
              </w:rPr>
            </w:pPr>
            <w:r w:rsidRPr="000242D4">
              <w:rPr>
                <w:rFonts w:asciiTheme="majorHAnsi" w:hAnsiTheme="majorHAnsi" w:cstheme="majorHAnsi"/>
                <w:color w:val="000000" w:themeColor="text1"/>
                <w:sz w:val="16"/>
                <w:szCs w:val="16"/>
              </w:rPr>
              <w:t>Borough</w:t>
            </w:r>
          </w:p>
        </w:tc>
        <w:tc>
          <w:tcPr>
            <w:tcW w:w="790" w:type="dxa"/>
          </w:tcPr>
          <w:p w14:paraId="50A1A6A6"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color w:val="000000" w:themeColor="text1"/>
                <w:sz w:val="16"/>
                <w:szCs w:val="16"/>
              </w:rPr>
              <w:t xml:space="preserve">Start date for data collection </w:t>
            </w:r>
            <m:oMath>
              <m:sSub>
                <m:sSubPr>
                  <m:ctrlPr>
                    <w:rPr>
                      <w:rFonts w:ascii="Cambria Math" w:hAnsi="Cambria Math" w:cstheme="majorHAnsi"/>
                      <w:b w:val="0"/>
                      <w:bCs w:val="0"/>
                      <w:i/>
                      <w:color w:val="000000" w:themeColor="text1"/>
                      <w:sz w:val="16"/>
                      <w:szCs w:val="16"/>
                    </w:rPr>
                  </m:ctrlPr>
                </m:sSubPr>
                <m:e>
                  <m:r>
                    <m:rPr>
                      <m:sty m:val="bi"/>
                    </m:rPr>
                    <w:rPr>
                      <w:rFonts w:ascii="Cambria Math" w:hAnsi="Cambria Math" w:cstheme="majorHAnsi"/>
                      <w:color w:val="000000" w:themeColor="text1"/>
                      <w:sz w:val="16"/>
                      <w:szCs w:val="16"/>
                    </w:rPr>
                    <m:t>(T</m:t>
                  </m:r>
                  <m:ctrlPr>
                    <w:rPr>
                      <w:rFonts w:ascii="Cambria Math" w:hAnsi="Cambria Math" w:cstheme="majorHAnsi"/>
                      <w:i/>
                      <w:color w:val="000000" w:themeColor="text1"/>
                      <w:sz w:val="16"/>
                      <w:szCs w:val="16"/>
                    </w:rPr>
                  </m:ctrlPr>
                </m:e>
                <m:sub>
                  <m:r>
                    <m:rPr>
                      <m:sty m:val="bi"/>
                    </m:rPr>
                    <w:rPr>
                      <w:rFonts w:ascii="Cambria Math" w:hAnsi="Cambria Math" w:cstheme="majorHAnsi"/>
                      <w:color w:val="000000" w:themeColor="text1"/>
                      <w:sz w:val="16"/>
                      <w:szCs w:val="16"/>
                    </w:rPr>
                    <m:t>0</m:t>
                  </m:r>
                </m:sub>
              </m:sSub>
              <m:r>
                <m:rPr>
                  <m:sty m:val="bi"/>
                </m:rPr>
                <w:rPr>
                  <w:rFonts w:ascii="Cambria Math" w:hAnsi="Cambria Math" w:cstheme="majorHAnsi"/>
                  <w:color w:val="000000" w:themeColor="text1"/>
                  <w:sz w:val="16"/>
                  <w:szCs w:val="16"/>
                </w:rPr>
                <m:t>)</m:t>
              </m:r>
            </m:oMath>
          </w:p>
        </w:tc>
        <w:tc>
          <w:tcPr>
            <w:tcW w:w="791" w:type="dxa"/>
            <w:vMerge w:val="restart"/>
          </w:tcPr>
          <w:p w14:paraId="648306B8"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sz w:val="16"/>
                <w:szCs w:val="16"/>
              </w:rPr>
            </w:pPr>
            <w:r w:rsidRPr="000242D4">
              <w:rPr>
                <w:rFonts w:asciiTheme="majorHAnsi" w:hAnsiTheme="majorHAnsi" w:cstheme="majorHAnsi"/>
                <w:color w:val="000000" w:themeColor="text1"/>
                <w:sz w:val="16"/>
                <w:szCs w:val="16"/>
              </w:rPr>
              <w:t>Start date of IRIS implementation</w:t>
            </w:r>
            <m:oMath>
              <m:sSub>
                <m:sSubPr>
                  <m:ctrlPr>
                    <w:rPr>
                      <w:rFonts w:ascii="Cambria Math" w:hAnsi="Cambria Math" w:cstheme="majorHAnsi"/>
                      <w:b w:val="0"/>
                      <w:bCs w:val="0"/>
                      <w:i/>
                      <w:color w:val="000000" w:themeColor="text1"/>
                      <w:sz w:val="16"/>
                      <w:szCs w:val="16"/>
                    </w:rPr>
                  </m:ctrlPr>
                </m:sSubPr>
                <m:e>
                  <m:r>
                    <m:rPr>
                      <m:sty m:val="bi"/>
                    </m:rPr>
                    <w:rPr>
                      <w:rFonts w:ascii="Cambria Math" w:hAnsi="Cambria Math" w:cstheme="majorHAnsi"/>
                      <w:color w:val="000000" w:themeColor="text1"/>
                      <w:sz w:val="16"/>
                      <w:szCs w:val="16"/>
                    </w:rPr>
                    <m:t>(T</m:t>
                  </m:r>
                  <m:ctrlPr>
                    <w:rPr>
                      <w:rFonts w:ascii="Cambria Math" w:hAnsi="Cambria Math" w:cstheme="majorHAnsi"/>
                      <w:i/>
                      <w:color w:val="000000" w:themeColor="text1"/>
                      <w:sz w:val="16"/>
                      <w:szCs w:val="16"/>
                    </w:rPr>
                  </m:ctrlPr>
                </m:e>
                <m:sub>
                  <m:r>
                    <m:rPr>
                      <m:sty m:val="bi"/>
                    </m:rPr>
                    <w:rPr>
                      <w:rFonts w:ascii="Cambria Math" w:hAnsi="Cambria Math" w:cstheme="majorHAnsi"/>
                      <w:color w:val="000000" w:themeColor="text1"/>
                      <w:sz w:val="16"/>
                      <w:szCs w:val="16"/>
                    </w:rPr>
                    <m:t>1</m:t>
                  </m:r>
                </m:sub>
              </m:sSub>
              <m:r>
                <m:rPr>
                  <m:sty m:val="bi"/>
                </m:rPr>
                <w:rPr>
                  <w:rFonts w:ascii="Cambria Math" w:hAnsi="Cambria Math" w:cstheme="majorHAnsi"/>
                  <w:color w:val="000000" w:themeColor="text1"/>
                  <w:sz w:val="16"/>
                  <w:szCs w:val="16"/>
                </w:rPr>
                <m:t>)</m:t>
              </m:r>
            </m:oMath>
          </w:p>
        </w:tc>
        <w:tc>
          <w:tcPr>
            <w:tcW w:w="923" w:type="dxa"/>
            <w:vMerge w:val="restart"/>
          </w:tcPr>
          <w:p w14:paraId="11A5A793"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sz w:val="16"/>
                <w:szCs w:val="16"/>
              </w:rPr>
            </w:pPr>
            <w:r w:rsidRPr="000242D4">
              <w:rPr>
                <w:rFonts w:asciiTheme="majorHAnsi" w:hAnsiTheme="majorHAnsi" w:cstheme="majorHAnsi"/>
                <w:color w:val="000000" w:themeColor="text1"/>
                <w:sz w:val="16"/>
                <w:szCs w:val="16"/>
              </w:rPr>
              <w:t>Start date of IRIS service of disruption (</w:t>
            </w:r>
            <m:oMath>
              <m:sSub>
                <m:sSubPr>
                  <m:ctrlPr>
                    <w:rPr>
                      <w:rFonts w:ascii="Cambria Math" w:hAnsi="Cambria Math" w:cstheme="majorHAnsi"/>
                      <w:bCs w:val="0"/>
                      <w:i/>
                      <w:color w:val="000000" w:themeColor="text1"/>
                      <w:sz w:val="16"/>
                      <w:szCs w:val="16"/>
                    </w:rPr>
                  </m:ctrlPr>
                </m:sSubPr>
                <m:e>
                  <m:r>
                    <m:rPr>
                      <m:sty m:val="bi"/>
                    </m:rPr>
                    <w:rPr>
                      <w:rFonts w:ascii="Cambria Math" w:hAnsi="Cambria Math" w:cstheme="majorHAnsi"/>
                      <w:color w:val="000000" w:themeColor="text1"/>
                      <w:sz w:val="16"/>
                      <w:szCs w:val="16"/>
                    </w:rPr>
                    <m:t>T</m:t>
                  </m:r>
                  <m:ctrlPr>
                    <w:rPr>
                      <w:rFonts w:ascii="Cambria Math" w:hAnsi="Cambria Math" w:cstheme="majorHAnsi"/>
                      <w:i/>
                      <w:color w:val="000000" w:themeColor="text1"/>
                      <w:sz w:val="16"/>
                      <w:szCs w:val="16"/>
                    </w:rPr>
                  </m:ctrlPr>
                </m:e>
                <m:sub>
                  <m:r>
                    <m:rPr>
                      <m:sty m:val="bi"/>
                    </m:rPr>
                    <w:rPr>
                      <w:rFonts w:ascii="Cambria Math" w:hAnsi="Cambria Math" w:cstheme="majorHAnsi"/>
                      <w:color w:val="000000" w:themeColor="text1"/>
                      <w:sz w:val="16"/>
                      <w:szCs w:val="16"/>
                    </w:rPr>
                    <m:t>2</m:t>
                  </m:r>
                </m:sub>
              </m:sSub>
              <m:r>
                <m:rPr>
                  <m:sty m:val="bi"/>
                </m:rPr>
                <w:rPr>
                  <w:rFonts w:ascii="Cambria Math" w:hAnsi="Cambria Math" w:cstheme="majorHAnsi"/>
                  <w:color w:val="000000" w:themeColor="text1"/>
                  <w:sz w:val="16"/>
                  <w:szCs w:val="16"/>
                </w:rPr>
                <m:t>)</m:t>
              </m:r>
            </m:oMath>
          </w:p>
        </w:tc>
        <w:tc>
          <w:tcPr>
            <w:tcW w:w="923" w:type="dxa"/>
            <w:vMerge w:val="restart"/>
          </w:tcPr>
          <w:p w14:paraId="1B1A6701"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color w:val="000000" w:themeColor="text1"/>
                <w:sz w:val="16"/>
                <w:szCs w:val="16"/>
              </w:rPr>
              <w:t>End date of IRIS service disruption (</w:t>
            </w:r>
            <m:oMath>
              <m:sSub>
                <m:sSubPr>
                  <m:ctrlPr>
                    <w:rPr>
                      <w:rFonts w:ascii="Cambria Math" w:hAnsi="Cambria Math" w:cstheme="majorHAnsi"/>
                      <w:b w:val="0"/>
                      <w:bCs w:val="0"/>
                      <w:i/>
                      <w:color w:val="000000" w:themeColor="text1"/>
                      <w:sz w:val="16"/>
                      <w:szCs w:val="16"/>
                    </w:rPr>
                  </m:ctrlPr>
                </m:sSubPr>
                <m:e>
                  <m:r>
                    <m:rPr>
                      <m:sty m:val="bi"/>
                    </m:rPr>
                    <w:rPr>
                      <w:rFonts w:ascii="Cambria Math" w:hAnsi="Cambria Math" w:cstheme="majorHAnsi"/>
                      <w:color w:val="000000" w:themeColor="text1"/>
                      <w:sz w:val="16"/>
                      <w:szCs w:val="16"/>
                    </w:rPr>
                    <m:t>T</m:t>
                  </m:r>
                  <m:ctrlPr>
                    <w:rPr>
                      <w:rFonts w:ascii="Cambria Math" w:hAnsi="Cambria Math" w:cstheme="majorHAnsi"/>
                      <w:i/>
                      <w:color w:val="000000" w:themeColor="text1"/>
                      <w:sz w:val="16"/>
                      <w:szCs w:val="16"/>
                    </w:rPr>
                  </m:ctrlPr>
                </m:e>
                <m:sub>
                  <m:r>
                    <m:rPr>
                      <m:sty m:val="bi"/>
                    </m:rPr>
                    <w:rPr>
                      <w:rFonts w:ascii="Cambria Math" w:hAnsi="Cambria Math" w:cstheme="majorHAnsi"/>
                      <w:color w:val="000000" w:themeColor="text1"/>
                      <w:sz w:val="16"/>
                      <w:szCs w:val="16"/>
                    </w:rPr>
                    <m:t>3</m:t>
                  </m:r>
                </m:sub>
              </m:sSub>
              <m:r>
                <m:rPr>
                  <m:sty m:val="bi"/>
                </m:rPr>
                <w:rPr>
                  <w:rFonts w:ascii="Cambria Math" w:hAnsi="Cambria Math" w:cstheme="majorHAnsi"/>
                  <w:color w:val="000000" w:themeColor="text1"/>
                  <w:sz w:val="16"/>
                  <w:szCs w:val="16"/>
                </w:rPr>
                <m:t>)</m:t>
              </m:r>
            </m:oMath>
          </w:p>
        </w:tc>
        <w:tc>
          <w:tcPr>
            <w:tcW w:w="924" w:type="dxa"/>
            <w:vMerge w:val="restart"/>
          </w:tcPr>
          <w:p w14:paraId="5EEE5878"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color w:val="000000" w:themeColor="text1"/>
                <w:sz w:val="16"/>
                <w:szCs w:val="16"/>
              </w:rPr>
              <w:t xml:space="preserve">End of IRIS </w:t>
            </w:r>
            <w:proofErr w:type="gramStart"/>
            <w:r w:rsidRPr="000242D4">
              <w:rPr>
                <w:rFonts w:asciiTheme="majorHAnsi" w:hAnsiTheme="majorHAnsi" w:cstheme="majorHAnsi"/>
                <w:color w:val="000000" w:themeColor="text1"/>
                <w:sz w:val="16"/>
                <w:szCs w:val="16"/>
              </w:rPr>
              <w:t>data  (</w:t>
            </w:r>
            <w:proofErr w:type="gramEnd"/>
            <m:oMath>
              <m:sSub>
                <m:sSubPr>
                  <m:ctrlPr>
                    <w:rPr>
                      <w:rFonts w:ascii="Cambria Math" w:hAnsi="Cambria Math" w:cstheme="majorHAnsi"/>
                      <w:b w:val="0"/>
                      <w:bCs w:val="0"/>
                      <w:i/>
                      <w:color w:val="000000" w:themeColor="text1"/>
                      <w:sz w:val="16"/>
                      <w:szCs w:val="16"/>
                    </w:rPr>
                  </m:ctrlPr>
                </m:sSubPr>
                <m:e>
                  <m:r>
                    <m:rPr>
                      <m:sty m:val="bi"/>
                    </m:rPr>
                    <w:rPr>
                      <w:rFonts w:ascii="Cambria Math" w:hAnsi="Cambria Math" w:cstheme="majorHAnsi"/>
                      <w:color w:val="000000" w:themeColor="text1"/>
                      <w:sz w:val="16"/>
                      <w:szCs w:val="16"/>
                    </w:rPr>
                    <m:t>T</m:t>
                  </m:r>
                  <m:ctrlPr>
                    <w:rPr>
                      <w:rFonts w:ascii="Cambria Math" w:hAnsi="Cambria Math" w:cstheme="majorHAnsi"/>
                      <w:i/>
                      <w:color w:val="000000" w:themeColor="text1"/>
                      <w:sz w:val="16"/>
                      <w:szCs w:val="16"/>
                    </w:rPr>
                  </m:ctrlPr>
                </m:e>
                <m:sub>
                  <m:r>
                    <m:rPr>
                      <m:sty m:val="bi"/>
                    </m:rPr>
                    <w:rPr>
                      <w:rFonts w:ascii="Cambria Math" w:hAnsi="Cambria Math" w:cstheme="majorHAnsi"/>
                      <w:color w:val="000000" w:themeColor="text1"/>
                      <w:sz w:val="16"/>
                      <w:szCs w:val="16"/>
                    </w:rPr>
                    <m:t>4</m:t>
                  </m:r>
                </m:sub>
              </m:sSub>
              <m:r>
                <m:rPr>
                  <m:sty m:val="bi"/>
                </m:rPr>
                <w:rPr>
                  <w:rFonts w:ascii="Cambria Math" w:hAnsi="Cambria Math" w:cstheme="majorHAnsi"/>
                  <w:color w:val="000000" w:themeColor="text1"/>
                  <w:sz w:val="16"/>
                  <w:szCs w:val="16"/>
                </w:rPr>
                <m:t>)</m:t>
              </m:r>
            </m:oMath>
          </w:p>
        </w:tc>
        <w:tc>
          <w:tcPr>
            <w:tcW w:w="4353" w:type="dxa"/>
            <w:gridSpan w:val="3"/>
          </w:tcPr>
          <w:p w14:paraId="78C4DBE4"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bCs w:val="0"/>
                <w:color w:val="000000" w:themeColor="text1"/>
                <w:sz w:val="16"/>
                <w:szCs w:val="16"/>
              </w:rPr>
              <w:t xml:space="preserve">Referral rate: mean [bias-corrected </w:t>
            </w:r>
            <w:proofErr w:type="gramStart"/>
            <w:r w:rsidRPr="000242D4">
              <w:rPr>
                <w:rFonts w:asciiTheme="majorHAnsi" w:hAnsiTheme="majorHAnsi" w:cstheme="majorHAnsi"/>
                <w:bCs w:val="0"/>
                <w:color w:val="000000" w:themeColor="text1"/>
                <w:sz w:val="16"/>
                <w:szCs w:val="16"/>
              </w:rPr>
              <w:t>bootstrapped  CI</w:t>
            </w:r>
            <w:proofErr w:type="gramEnd"/>
            <w:r w:rsidRPr="000242D4">
              <w:rPr>
                <w:rFonts w:asciiTheme="majorHAnsi" w:hAnsiTheme="majorHAnsi" w:cstheme="majorHAnsi"/>
                <w:bCs w:val="0"/>
                <w:color w:val="000000" w:themeColor="text1"/>
                <w:sz w:val="16"/>
                <w:szCs w:val="16"/>
              </w:rPr>
              <w:t>]</w:t>
            </w:r>
          </w:p>
        </w:tc>
        <w:tc>
          <w:tcPr>
            <w:tcW w:w="1582" w:type="dxa"/>
          </w:tcPr>
          <w:p w14:paraId="3334B40A" w14:textId="77777777" w:rsidR="0067466B" w:rsidRPr="000242D4" w:rsidRDefault="0067466B" w:rsidP="00E5274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r>
      <w:tr w:rsidR="0067466B" w:rsidRPr="000242D4" w14:paraId="1B63B206" w14:textId="77777777" w:rsidTr="00E5274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87" w:type="dxa"/>
            <w:vMerge/>
          </w:tcPr>
          <w:p w14:paraId="758C4DC5" w14:textId="77777777" w:rsidR="0067466B" w:rsidRPr="000242D4" w:rsidRDefault="0067466B" w:rsidP="00E52740">
            <w:pPr>
              <w:jc w:val="both"/>
              <w:rPr>
                <w:rFonts w:asciiTheme="majorHAnsi" w:hAnsiTheme="majorHAnsi" w:cstheme="majorHAnsi"/>
                <w:color w:val="000000" w:themeColor="text1"/>
                <w:sz w:val="16"/>
                <w:szCs w:val="16"/>
              </w:rPr>
            </w:pPr>
          </w:p>
        </w:tc>
        <w:tc>
          <w:tcPr>
            <w:tcW w:w="790" w:type="dxa"/>
          </w:tcPr>
          <w:p w14:paraId="2290776E"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p>
        </w:tc>
        <w:tc>
          <w:tcPr>
            <w:tcW w:w="791" w:type="dxa"/>
            <w:vMerge/>
          </w:tcPr>
          <w:p w14:paraId="1B4269FD"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p>
        </w:tc>
        <w:tc>
          <w:tcPr>
            <w:tcW w:w="923" w:type="dxa"/>
            <w:vMerge/>
          </w:tcPr>
          <w:p w14:paraId="5DE8DD22"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p>
        </w:tc>
        <w:tc>
          <w:tcPr>
            <w:tcW w:w="923" w:type="dxa"/>
            <w:vMerge/>
          </w:tcPr>
          <w:p w14:paraId="49785378"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p>
        </w:tc>
        <w:tc>
          <w:tcPr>
            <w:tcW w:w="924" w:type="dxa"/>
            <w:vMerge/>
          </w:tcPr>
          <w:p w14:paraId="2826EE93"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p>
        </w:tc>
        <w:tc>
          <w:tcPr>
            <w:tcW w:w="1187" w:type="dxa"/>
          </w:tcPr>
          <w:p w14:paraId="789B37EB" w14:textId="77777777" w:rsidR="0067466B" w:rsidRPr="000242D4" w:rsidRDefault="0067466B" w:rsidP="00E527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bCs/>
                <w:color w:val="000000" w:themeColor="text1"/>
                <w:sz w:val="16"/>
                <w:szCs w:val="16"/>
              </w:rPr>
              <w:t xml:space="preserve">Over IRIS implementation </w:t>
            </w:r>
            <w:proofErr w:type="gramStart"/>
            <w:r w:rsidRPr="000242D4">
              <w:rPr>
                <w:rFonts w:asciiTheme="majorHAnsi" w:hAnsiTheme="majorHAnsi" w:cstheme="majorHAnsi"/>
                <w:bCs/>
                <w:color w:val="000000" w:themeColor="text1"/>
                <w:sz w:val="16"/>
                <w:szCs w:val="16"/>
              </w:rPr>
              <w:t>period  for</w:t>
            </w:r>
            <w:proofErr w:type="gramEnd"/>
            <w:r w:rsidRPr="000242D4">
              <w:rPr>
                <w:rFonts w:asciiTheme="majorHAnsi" w:hAnsiTheme="majorHAnsi" w:cstheme="majorHAnsi"/>
                <w:bCs/>
                <w:color w:val="000000" w:themeColor="text1"/>
                <w:sz w:val="16"/>
                <w:szCs w:val="16"/>
              </w:rPr>
              <w:t xml:space="preserve"> which we have data   (</w:t>
            </w:r>
            <m:oMath>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4</m:t>
                  </m:r>
                </m:sub>
              </m:sSub>
              <m:r>
                <w:rPr>
                  <w:rFonts w:ascii="Cambria Math" w:hAnsi="Cambria Math" w:cstheme="majorHAnsi"/>
                  <w:color w:val="000000" w:themeColor="text1"/>
                  <w:sz w:val="16"/>
                  <w:szCs w:val="16"/>
                </w:rPr>
                <m:t>-</m:t>
              </m:r>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1</m:t>
                  </m:r>
                </m:sub>
              </m:sSub>
            </m:oMath>
            <w:r w:rsidRPr="000242D4">
              <w:rPr>
                <w:rFonts w:asciiTheme="majorHAnsi" w:hAnsiTheme="majorHAnsi" w:cstheme="majorHAnsi"/>
                <w:bCs/>
                <w:color w:val="000000" w:themeColor="text1"/>
                <w:sz w:val="16"/>
                <w:szCs w:val="16"/>
              </w:rPr>
              <w:t>)</w:t>
            </w:r>
          </w:p>
        </w:tc>
        <w:tc>
          <w:tcPr>
            <w:tcW w:w="1582" w:type="dxa"/>
          </w:tcPr>
          <w:p w14:paraId="75BD2D40"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proofErr w:type="gramStart"/>
            <w:r w:rsidRPr="000242D4">
              <w:rPr>
                <w:rFonts w:asciiTheme="majorHAnsi" w:hAnsiTheme="majorHAnsi" w:cstheme="majorHAnsi"/>
                <w:bCs/>
                <w:color w:val="000000" w:themeColor="text1"/>
                <w:sz w:val="16"/>
                <w:szCs w:val="16"/>
              </w:rPr>
              <w:t>During  period</w:t>
            </w:r>
            <w:proofErr w:type="gramEnd"/>
            <w:r w:rsidRPr="000242D4">
              <w:rPr>
                <w:rFonts w:asciiTheme="majorHAnsi" w:hAnsiTheme="majorHAnsi" w:cstheme="majorHAnsi"/>
                <w:bCs/>
                <w:color w:val="000000" w:themeColor="text1"/>
                <w:sz w:val="16"/>
                <w:szCs w:val="16"/>
              </w:rPr>
              <w:t xml:space="preserve"> of IRIS implementation before disruption (</w:t>
            </w:r>
            <m:oMath>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2</m:t>
                  </m:r>
                </m:sub>
              </m:sSub>
              <m:r>
                <w:rPr>
                  <w:rFonts w:ascii="Cambria Math" w:hAnsi="Cambria Math" w:cstheme="majorHAnsi"/>
                  <w:color w:val="000000" w:themeColor="text1"/>
                  <w:sz w:val="16"/>
                  <w:szCs w:val="16"/>
                </w:rPr>
                <m:t>-</m:t>
              </m:r>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1</m:t>
                  </m:r>
                </m:sub>
              </m:sSub>
            </m:oMath>
            <w:r w:rsidRPr="000242D4">
              <w:rPr>
                <w:rFonts w:asciiTheme="majorHAnsi" w:hAnsiTheme="majorHAnsi" w:cstheme="majorHAnsi"/>
                <w:bCs/>
                <w:color w:val="000000" w:themeColor="text1"/>
                <w:sz w:val="16"/>
                <w:szCs w:val="16"/>
              </w:rPr>
              <w:t>)</w:t>
            </w:r>
          </w:p>
        </w:tc>
        <w:tc>
          <w:tcPr>
            <w:tcW w:w="1582" w:type="dxa"/>
          </w:tcPr>
          <w:p w14:paraId="757DEC41"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bCs/>
                <w:color w:val="000000" w:themeColor="text1"/>
                <w:sz w:val="16"/>
                <w:szCs w:val="16"/>
              </w:rPr>
              <w:t xml:space="preserve">During period of IRIS </w:t>
            </w:r>
            <w:proofErr w:type="gramStart"/>
            <w:r w:rsidRPr="000242D4">
              <w:rPr>
                <w:rFonts w:asciiTheme="majorHAnsi" w:hAnsiTheme="majorHAnsi" w:cstheme="majorHAnsi"/>
                <w:bCs/>
                <w:color w:val="000000" w:themeColor="text1"/>
                <w:sz w:val="16"/>
                <w:szCs w:val="16"/>
              </w:rPr>
              <w:t>service  disruption</w:t>
            </w:r>
            <w:proofErr w:type="gramEnd"/>
            <w:r w:rsidRPr="000242D4">
              <w:rPr>
                <w:rFonts w:asciiTheme="majorHAnsi" w:hAnsiTheme="majorHAnsi" w:cstheme="majorHAnsi"/>
                <w:bCs/>
                <w:color w:val="000000" w:themeColor="text1"/>
                <w:sz w:val="16"/>
                <w:szCs w:val="16"/>
              </w:rPr>
              <w:t xml:space="preserve">  (</w:t>
            </w:r>
            <m:oMath>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3</m:t>
                  </m:r>
                </m:sub>
              </m:sSub>
              <m:r>
                <w:rPr>
                  <w:rFonts w:ascii="Cambria Math" w:hAnsi="Cambria Math" w:cstheme="majorHAnsi"/>
                  <w:color w:val="000000" w:themeColor="text1"/>
                  <w:sz w:val="16"/>
                  <w:szCs w:val="16"/>
                </w:rPr>
                <m:t>-</m:t>
              </m:r>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2</m:t>
                  </m:r>
                </m:sub>
              </m:sSub>
            </m:oMath>
            <w:r w:rsidRPr="000242D4">
              <w:rPr>
                <w:rFonts w:asciiTheme="majorHAnsi" w:hAnsiTheme="majorHAnsi" w:cstheme="majorHAnsi"/>
                <w:bCs/>
                <w:color w:val="000000" w:themeColor="text1"/>
                <w:sz w:val="16"/>
                <w:szCs w:val="16"/>
              </w:rPr>
              <w:t>)</w:t>
            </w:r>
          </w:p>
        </w:tc>
        <w:tc>
          <w:tcPr>
            <w:tcW w:w="1582" w:type="dxa"/>
          </w:tcPr>
          <w:p w14:paraId="7ADD6B20" w14:textId="77777777" w:rsidR="0067466B" w:rsidRPr="000242D4" w:rsidRDefault="0067466B" w:rsidP="00E5274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0242D4">
              <w:rPr>
                <w:rFonts w:asciiTheme="majorHAnsi" w:hAnsiTheme="majorHAnsi" w:cstheme="majorHAnsi"/>
                <w:bCs/>
                <w:color w:val="000000" w:themeColor="text1"/>
                <w:sz w:val="16"/>
                <w:szCs w:val="16"/>
              </w:rPr>
              <w:t xml:space="preserve">Over period post </w:t>
            </w:r>
            <w:proofErr w:type="gramStart"/>
            <w:r w:rsidRPr="000242D4">
              <w:rPr>
                <w:rFonts w:asciiTheme="majorHAnsi" w:hAnsiTheme="majorHAnsi" w:cstheme="majorHAnsi"/>
                <w:bCs/>
                <w:color w:val="000000" w:themeColor="text1"/>
                <w:sz w:val="16"/>
                <w:szCs w:val="16"/>
              </w:rPr>
              <w:t>IRIS  service</w:t>
            </w:r>
            <w:proofErr w:type="gramEnd"/>
            <w:r w:rsidRPr="000242D4">
              <w:rPr>
                <w:rFonts w:asciiTheme="majorHAnsi" w:hAnsiTheme="majorHAnsi" w:cstheme="majorHAnsi"/>
                <w:bCs/>
                <w:color w:val="000000" w:themeColor="text1"/>
                <w:sz w:val="16"/>
                <w:szCs w:val="16"/>
              </w:rPr>
              <w:t xml:space="preserve"> disruption (</w:t>
            </w:r>
            <m:oMath>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4</m:t>
                  </m:r>
                </m:sub>
              </m:sSub>
              <m:r>
                <w:rPr>
                  <w:rFonts w:ascii="Cambria Math" w:hAnsi="Cambria Math" w:cstheme="majorHAnsi"/>
                  <w:color w:val="000000" w:themeColor="text1"/>
                  <w:sz w:val="16"/>
                  <w:szCs w:val="16"/>
                </w:rPr>
                <m:t>-</m:t>
              </m:r>
              <m:sSub>
                <m:sSubPr>
                  <m:ctrlPr>
                    <w:rPr>
                      <w:rFonts w:ascii="Cambria Math" w:hAnsi="Cambria Math" w:cstheme="majorHAnsi"/>
                      <w:bCs/>
                      <w:i/>
                      <w:color w:val="000000" w:themeColor="text1"/>
                      <w:sz w:val="16"/>
                      <w:szCs w:val="16"/>
                    </w:rPr>
                  </m:ctrlPr>
                </m:sSubPr>
                <m:e>
                  <m:r>
                    <w:rPr>
                      <w:rFonts w:ascii="Cambria Math" w:hAnsi="Cambria Math" w:cstheme="majorHAnsi"/>
                      <w:color w:val="000000" w:themeColor="text1"/>
                      <w:sz w:val="16"/>
                      <w:szCs w:val="16"/>
                    </w:rPr>
                    <m:t>T</m:t>
                  </m:r>
                </m:e>
                <m:sub>
                  <m:r>
                    <w:rPr>
                      <w:rFonts w:ascii="Cambria Math" w:hAnsi="Cambria Math" w:cstheme="majorHAnsi"/>
                      <w:color w:val="000000" w:themeColor="text1"/>
                      <w:sz w:val="16"/>
                      <w:szCs w:val="16"/>
                    </w:rPr>
                    <m:t>3</m:t>
                  </m:r>
                </m:sub>
              </m:sSub>
            </m:oMath>
            <w:r w:rsidRPr="000242D4">
              <w:rPr>
                <w:rFonts w:asciiTheme="majorHAnsi" w:hAnsiTheme="majorHAnsi" w:cstheme="majorHAnsi"/>
                <w:bCs/>
                <w:color w:val="000000" w:themeColor="text1"/>
                <w:sz w:val="16"/>
                <w:szCs w:val="16"/>
              </w:rPr>
              <w:t>)</w:t>
            </w:r>
          </w:p>
        </w:tc>
      </w:tr>
      <w:tr w:rsidR="0067466B" w:rsidRPr="00C90367" w14:paraId="4A9DFA6D" w14:textId="77777777" w:rsidTr="00E52740">
        <w:trPr>
          <w:trHeight w:val="365"/>
        </w:trPr>
        <w:tc>
          <w:tcPr>
            <w:cnfStyle w:val="001000000000" w:firstRow="0" w:lastRow="0" w:firstColumn="1" w:lastColumn="0" w:oddVBand="0" w:evenVBand="0" w:oddHBand="0" w:evenHBand="0" w:firstRowFirstColumn="0" w:firstRowLastColumn="0" w:lastRowFirstColumn="0" w:lastRowLastColumn="0"/>
            <w:tcW w:w="787" w:type="dxa"/>
          </w:tcPr>
          <w:p w14:paraId="5AB14C59" w14:textId="77777777" w:rsidR="0067466B" w:rsidRPr="00C90367" w:rsidRDefault="0067466B" w:rsidP="00E52740">
            <w:pPr>
              <w:jc w:val="both"/>
              <w:rPr>
                <w:sz w:val="18"/>
                <w:szCs w:val="18"/>
              </w:rPr>
            </w:pPr>
            <w:r w:rsidRPr="00C90367">
              <w:rPr>
                <w:sz w:val="18"/>
                <w:szCs w:val="18"/>
              </w:rPr>
              <w:t>B</w:t>
            </w:r>
          </w:p>
        </w:tc>
        <w:tc>
          <w:tcPr>
            <w:tcW w:w="790" w:type="dxa"/>
          </w:tcPr>
          <w:p w14:paraId="5ECAC6B3"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14.03.1</w:t>
            </w:r>
            <w:r>
              <w:rPr>
                <w:sz w:val="16"/>
                <w:szCs w:val="16"/>
              </w:rPr>
              <w:t>3</w:t>
            </w:r>
            <w:r w:rsidRPr="00A93C0A">
              <w:rPr>
                <w:sz w:val="16"/>
                <w:szCs w:val="16"/>
              </w:rPr>
              <w:t xml:space="preserve"> (t=</w:t>
            </w:r>
            <w:r>
              <w:rPr>
                <w:sz w:val="16"/>
                <w:szCs w:val="16"/>
              </w:rPr>
              <w:t>0</w:t>
            </w:r>
            <w:r w:rsidRPr="00A93C0A">
              <w:rPr>
                <w:sz w:val="16"/>
                <w:szCs w:val="16"/>
              </w:rPr>
              <w:t>)</w:t>
            </w:r>
          </w:p>
        </w:tc>
        <w:tc>
          <w:tcPr>
            <w:tcW w:w="791" w:type="dxa"/>
          </w:tcPr>
          <w:p w14:paraId="2435AF19"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14.03.14 (t=365)</w:t>
            </w:r>
          </w:p>
        </w:tc>
        <w:tc>
          <w:tcPr>
            <w:tcW w:w="923" w:type="dxa"/>
          </w:tcPr>
          <w:p w14:paraId="3A8B2567"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 xml:space="preserve">29.07.16 </w:t>
            </w:r>
          </w:p>
          <w:p w14:paraId="0726B9A9"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(t=1234)</w:t>
            </w:r>
          </w:p>
        </w:tc>
        <w:tc>
          <w:tcPr>
            <w:tcW w:w="923" w:type="dxa"/>
          </w:tcPr>
          <w:p w14:paraId="73AD48AE"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 xml:space="preserve">08.02.17 </w:t>
            </w:r>
          </w:p>
          <w:p w14:paraId="59CA3591"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(t=1428)</w:t>
            </w:r>
          </w:p>
        </w:tc>
        <w:tc>
          <w:tcPr>
            <w:tcW w:w="924" w:type="dxa"/>
          </w:tcPr>
          <w:p w14:paraId="3D75ED58"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31.03.17</w:t>
            </w:r>
          </w:p>
          <w:p w14:paraId="701F117F"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sz w:val="16"/>
                <w:szCs w:val="16"/>
              </w:rPr>
              <w:t>(t=1479)</w:t>
            </w:r>
          </w:p>
        </w:tc>
        <w:tc>
          <w:tcPr>
            <w:tcW w:w="1187" w:type="dxa"/>
          </w:tcPr>
          <w:p w14:paraId="72EF2EBE"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bCs/>
                <w:sz w:val="16"/>
                <w:szCs w:val="16"/>
              </w:rPr>
              <w:t>0.0</w:t>
            </w:r>
            <w:r>
              <w:rPr>
                <w:bCs/>
                <w:sz w:val="16"/>
                <w:szCs w:val="16"/>
              </w:rPr>
              <w:t>344</w:t>
            </w:r>
            <w:r w:rsidRPr="00A93C0A">
              <w:rPr>
                <w:bCs/>
                <w:sz w:val="16"/>
                <w:szCs w:val="16"/>
              </w:rPr>
              <w:t xml:space="preserve"> [0.0</w:t>
            </w:r>
            <w:r>
              <w:rPr>
                <w:bCs/>
                <w:sz w:val="16"/>
                <w:szCs w:val="16"/>
              </w:rPr>
              <w:t>196</w:t>
            </w:r>
            <w:r w:rsidRPr="00A93C0A">
              <w:rPr>
                <w:bCs/>
                <w:sz w:val="16"/>
                <w:szCs w:val="16"/>
              </w:rPr>
              <w:t>5,0.0</w:t>
            </w:r>
            <w:r>
              <w:rPr>
                <w:bCs/>
                <w:sz w:val="16"/>
                <w:szCs w:val="16"/>
              </w:rPr>
              <w:t>492</w:t>
            </w:r>
            <w:r w:rsidRPr="00A93C0A">
              <w:rPr>
                <w:bCs/>
                <w:sz w:val="16"/>
                <w:szCs w:val="16"/>
              </w:rPr>
              <w:t>]</w:t>
            </w:r>
          </w:p>
        </w:tc>
        <w:tc>
          <w:tcPr>
            <w:tcW w:w="1582" w:type="dxa"/>
          </w:tcPr>
          <w:p w14:paraId="5CE127BB"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bCs/>
                <w:sz w:val="16"/>
                <w:szCs w:val="16"/>
              </w:rPr>
              <w:t>0.04</w:t>
            </w:r>
            <w:r>
              <w:rPr>
                <w:bCs/>
                <w:sz w:val="16"/>
                <w:szCs w:val="16"/>
              </w:rPr>
              <w:t>336</w:t>
            </w:r>
            <w:r w:rsidRPr="00A93C0A">
              <w:rPr>
                <w:bCs/>
                <w:sz w:val="16"/>
                <w:szCs w:val="16"/>
              </w:rPr>
              <w:t xml:space="preserve"> [0.</w:t>
            </w:r>
            <w:r>
              <w:rPr>
                <w:bCs/>
                <w:sz w:val="16"/>
                <w:szCs w:val="16"/>
              </w:rPr>
              <w:t>0278,0.0589</w:t>
            </w:r>
            <w:r w:rsidRPr="00A93C0A">
              <w:rPr>
                <w:bCs/>
                <w:sz w:val="16"/>
                <w:szCs w:val="16"/>
              </w:rPr>
              <w:t>]</w:t>
            </w:r>
          </w:p>
        </w:tc>
        <w:tc>
          <w:tcPr>
            <w:tcW w:w="1582" w:type="dxa"/>
          </w:tcPr>
          <w:p w14:paraId="44BE22C0"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A93C0A">
              <w:rPr>
                <w:bCs/>
                <w:sz w:val="16"/>
                <w:szCs w:val="16"/>
              </w:rPr>
              <w:t xml:space="preserve">0.0023 </w:t>
            </w:r>
          </w:p>
          <w:p w14:paraId="4D47F637"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bCs/>
                <w:sz w:val="16"/>
                <w:szCs w:val="16"/>
              </w:rPr>
              <w:t>[</w:t>
            </w:r>
            <w:r>
              <w:rPr>
                <w:bCs/>
                <w:sz w:val="16"/>
                <w:szCs w:val="16"/>
              </w:rPr>
              <w:t>0.000551,0.00405</w:t>
            </w:r>
            <w:r w:rsidRPr="00A93C0A">
              <w:rPr>
                <w:bCs/>
                <w:sz w:val="16"/>
                <w:szCs w:val="16"/>
              </w:rPr>
              <w:t>]</w:t>
            </w:r>
          </w:p>
        </w:tc>
        <w:tc>
          <w:tcPr>
            <w:tcW w:w="1582" w:type="dxa"/>
          </w:tcPr>
          <w:p w14:paraId="5CBD8D58"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A93C0A">
              <w:rPr>
                <w:bCs/>
                <w:sz w:val="16"/>
                <w:szCs w:val="16"/>
              </w:rPr>
              <w:t>0.005</w:t>
            </w:r>
          </w:p>
          <w:p w14:paraId="6EE4625A" w14:textId="77777777" w:rsidR="0067466B" w:rsidRPr="00A93C0A" w:rsidRDefault="0067466B" w:rsidP="00E52740">
            <w:pPr>
              <w:jc w:val="both"/>
              <w:cnfStyle w:val="000000000000" w:firstRow="0" w:lastRow="0" w:firstColumn="0" w:lastColumn="0" w:oddVBand="0" w:evenVBand="0" w:oddHBand="0" w:evenHBand="0" w:firstRowFirstColumn="0" w:firstRowLastColumn="0" w:lastRowFirstColumn="0" w:lastRowLastColumn="0"/>
              <w:rPr>
                <w:sz w:val="16"/>
                <w:szCs w:val="16"/>
              </w:rPr>
            </w:pPr>
            <w:r w:rsidRPr="00A93C0A">
              <w:rPr>
                <w:bCs/>
                <w:sz w:val="16"/>
                <w:szCs w:val="16"/>
              </w:rPr>
              <w:t>[</w:t>
            </w:r>
            <w:r>
              <w:rPr>
                <w:bCs/>
                <w:sz w:val="16"/>
                <w:szCs w:val="16"/>
              </w:rPr>
              <w:t>0.00032</w:t>
            </w:r>
            <w:r w:rsidRPr="00A93C0A">
              <w:rPr>
                <w:bCs/>
                <w:sz w:val="16"/>
                <w:szCs w:val="16"/>
              </w:rPr>
              <w:t>,0.0</w:t>
            </w:r>
            <w:r>
              <w:rPr>
                <w:bCs/>
                <w:sz w:val="16"/>
                <w:szCs w:val="16"/>
              </w:rPr>
              <w:t>097</w:t>
            </w:r>
            <w:r w:rsidRPr="00A93C0A">
              <w:rPr>
                <w:bCs/>
                <w:sz w:val="16"/>
                <w:szCs w:val="16"/>
              </w:rPr>
              <w:t>]</w:t>
            </w:r>
          </w:p>
        </w:tc>
      </w:tr>
      <w:tr w:rsidR="0067466B" w:rsidRPr="00C90367" w14:paraId="3F76F97E" w14:textId="77777777" w:rsidTr="00E5274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87" w:type="dxa"/>
          </w:tcPr>
          <w:p w14:paraId="299CF872" w14:textId="77777777" w:rsidR="0067466B" w:rsidRPr="00C90367" w:rsidRDefault="0067466B" w:rsidP="00E52740">
            <w:pPr>
              <w:jc w:val="both"/>
              <w:rPr>
                <w:sz w:val="18"/>
                <w:szCs w:val="18"/>
              </w:rPr>
            </w:pPr>
            <w:r w:rsidRPr="00C90367">
              <w:rPr>
                <w:sz w:val="18"/>
                <w:szCs w:val="18"/>
              </w:rPr>
              <w:t>C</w:t>
            </w:r>
          </w:p>
        </w:tc>
        <w:tc>
          <w:tcPr>
            <w:tcW w:w="790" w:type="dxa"/>
          </w:tcPr>
          <w:p w14:paraId="05F406E2"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02.10.1</w:t>
            </w:r>
            <w:r>
              <w:rPr>
                <w:sz w:val="16"/>
                <w:szCs w:val="16"/>
              </w:rPr>
              <w:t>3</w:t>
            </w:r>
          </w:p>
          <w:p w14:paraId="7DB8BAEE"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(t=</w:t>
            </w:r>
            <w:r>
              <w:rPr>
                <w:sz w:val="16"/>
                <w:szCs w:val="16"/>
              </w:rPr>
              <w:t>0</w:t>
            </w:r>
            <w:r w:rsidRPr="00A93C0A">
              <w:rPr>
                <w:sz w:val="16"/>
                <w:szCs w:val="16"/>
              </w:rPr>
              <w:t>)</w:t>
            </w:r>
          </w:p>
        </w:tc>
        <w:tc>
          <w:tcPr>
            <w:tcW w:w="791" w:type="dxa"/>
          </w:tcPr>
          <w:p w14:paraId="32E82A75"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02.10.14</w:t>
            </w:r>
          </w:p>
          <w:p w14:paraId="0FB196DC"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(t=365)</w:t>
            </w:r>
          </w:p>
        </w:tc>
        <w:tc>
          <w:tcPr>
            <w:tcW w:w="923" w:type="dxa"/>
          </w:tcPr>
          <w:p w14:paraId="2AF52CEC"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05.08.16</w:t>
            </w:r>
          </w:p>
          <w:p w14:paraId="1AC919A7"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(t=1039)</w:t>
            </w:r>
          </w:p>
        </w:tc>
        <w:tc>
          <w:tcPr>
            <w:tcW w:w="923" w:type="dxa"/>
          </w:tcPr>
          <w:p w14:paraId="2FE9CCD2"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31.10.16</w:t>
            </w:r>
          </w:p>
          <w:p w14:paraId="37637420"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(t=1125)</w:t>
            </w:r>
          </w:p>
        </w:tc>
        <w:tc>
          <w:tcPr>
            <w:tcW w:w="924" w:type="dxa"/>
          </w:tcPr>
          <w:p w14:paraId="7D6AAF50"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25.03.17</w:t>
            </w:r>
          </w:p>
          <w:p w14:paraId="00D4790B"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sz w:val="16"/>
                <w:szCs w:val="16"/>
              </w:rPr>
              <w:t>(t=1271)</w:t>
            </w:r>
          </w:p>
        </w:tc>
        <w:tc>
          <w:tcPr>
            <w:tcW w:w="1187" w:type="dxa"/>
          </w:tcPr>
          <w:p w14:paraId="72343A8A"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bCs/>
                <w:sz w:val="16"/>
                <w:szCs w:val="16"/>
              </w:rPr>
              <w:t>0.0</w:t>
            </w:r>
            <w:r>
              <w:rPr>
                <w:bCs/>
                <w:sz w:val="16"/>
                <w:szCs w:val="16"/>
              </w:rPr>
              <w:t>307</w:t>
            </w:r>
            <w:r w:rsidRPr="00A93C0A">
              <w:rPr>
                <w:bCs/>
                <w:sz w:val="16"/>
                <w:szCs w:val="16"/>
              </w:rPr>
              <w:t xml:space="preserve"> [0.0</w:t>
            </w:r>
            <w:r>
              <w:rPr>
                <w:bCs/>
                <w:sz w:val="16"/>
                <w:szCs w:val="16"/>
              </w:rPr>
              <w:t>271,</w:t>
            </w:r>
            <w:r w:rsidRPr="00A93C0A">
              <w:rPr>
                <w:bCs/>
                <w:sz w:val="16"/>
                <w:szCs w:val="16"/>
              </w:rPr>
              <w:t>0.03</w:t>
            </w:r>
            <w:r>
              <w:rPr>
                <w:bCs/>
                <w:sz w:val="16"/>
                <w:szCs w:val="16"/>
              </w:rPr>
              <w:t>4</w:t>
            </w:r>
            <w:r w:rsidRPr="00A93C0A">
              <w:rPr>
                <w:bCs/>
                <w:sz w:val="16"/>
                <w:szCs w:val="16"/>
              </w:rPr>
              <w:t>]</w:t>
            </w:r>
          </w:p>
        </w:tc>
        <w:tc>
          <w:tcPr>
            <w:tcW w:w="1582" w:type="dxa"/>
          </w:tcPr>
          <w:p w14:paraId="58B6AC08"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bCs/>
                <w:sz w:val="16"/>
                <w:szCs w:val="16"/>
              </w:rPr>
              <w:t>0.03</w:t>
            </w:r>
            <w:r>
              <w:rPr>
                <w:bCs/>
                <w:sz w:val="16"/>
                <w:szCs w:val="16"/>
              </w:rPr>
              <w:t>35</w:t>
            </w:r>
            <w:r w:rsidRPr="00A93C0A">
              <w:rPr>
                <w:bCs/>
                <w:sz w:val="16"/>
                <w:szCs w:val="16"/>
              </w:rPr>
              <w:t xml:space="preserve"> [0.0</w:t>
            </w:r>
            <w:r>
              <w:rPr>
                <w:bCs/>
                <w:sz w:val="16"/>
                <w:szCs w:val="16"/>
              </w:rPr>
              <w:t>290</w:t>
            </w:r>
            <w:r w:rsidRPr="00A93C0A">
              <w:rPr>
                <w:bCs/>
                <w:sz w:val="16"/>
                <w:szCs w:val="16"/>
              </w:rPr>
              <w:t>,0.03</w:t>
            </w:r>
            <w:r>
              <w:rPr>
                <w:bCs/>
                <w:sz w:val="16"/>
                <w:szCs w:val="16"/>
              </w:rPr>
              <w:t>79</w:t>
            </w:r>
            <w:r w:rsidRPr="00A93C0A">
              <w:rPr>
                <w:bCs/>
                <w:sz w:val="16"/>
                <w:szCs w:val="16"/>
              </w:rPr>
              <w:t>]</w:t>
            </w:r>
          </w:p>
        </w:tc>
        <w:tc>
          <w:tcPr>
            <w:tcW w:w="1582" w:type="dxa"/>
          </w:tcPr>
          <w:p w14:paraId="72F2837F"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bCs/>
                <w:sz w:val="16"/>
                <w:szCs w:val="16"/>
              </w:rPr>
              <w:t>0.0</w:t>
            </w:r>
            <w:r>
              <w:rPr>
                <w:bCs/>
                <w:sz w:val="16"/>
                <w:szCs w:val="16"/>
              </w:rPr>
              <w:t xml:space="preserve">156 </w:t>
            </w:r>
            <w:r w:rsidRPr="00A93C0A">
              <w:rPr>
                <w:bCs/>
                <w:sz w:val="16"/>
                <w:szCs w:val="16"/>
              </w:rPr>
              <w:t>[0.</w:t>
            </w:r>
            <w:r>
              <w:rPr>
                <w:bCs/>
                <w:sz w:val="16"/>
                <w:szCs w:val="16"/>
              </w:rPr>
              <w:t>0073</w:t>
            </w:r>
            <w:r w:rsidRPr="00A93C0A">
              <w:rPr>
                <w:bCs/>
                <w:sz w:val="16"/>
                <w:szCs w:val="16"/>
              </w:rPr>
              <w:t>,0.</w:t>
            </w:r>
            <w:r>
              <w:rPr>
                <w:bCs/>
                <w:sz w:val="16"/>
                <w:szCs w:val="16"/>
              </w:rPr>
              <w:t>0239</w:t>
            </w:r>
            <w:r w:rsidRPr="00A93C0A">
              <w:rPr>
                <w:bCs/>
                <w:sz w:val="16"/>
                <w:szCs w:val="16"/>
              </w:rPr>
              <w:t>]</w:t>
            </w:r>
          </w:p>
        </w:tc>
        <w:tc>
          <w:tcPr>
            <w:tcW w:w="1582" w:type="dxa"/>
          </w:tcPr>
          <w:p w14:paraId="5CABA21C" w14:textId="77777777" w:rsidR="0067466B" w:rsidRPr="00A93C0A" w:rsidRDefault="0067466B" w:rsidP="00E52740">
            <w:pPr>
              <w:jc w:val="both"/>
              <w:cnfStyle w:val="000000100000" w:firstRow="0" w:lastRow="0" w:firstColumn="0" w:lastColumn="0" w:oddVBand="0" w:evenVBand="0" w:oddHBand="1" w:evenHBand="0" w:firstRowFirstColumn="0" w:firstRowLastColumn="0" w:lastRowFirstColumn="0" w:lastRowLastColumn="0"/>
              <w:rPr>
                <w:sz w:val="16"/>
                <w:szCs w:val="16"/>
              </w:rPr>
            </w:pPr>
            <w:r w:rsidRPr="00A93C0A">
              <w:rPr>
                <w:bCs/>
                <w:sz w:val="16"/>
                <w:szCs w:val="16"/>
              </w:rPr>
              <w:t>0.02</w:t>
            </w:r>
            <w:r>
              <w:rPr>
                <w:bCs/>
                <w:sz w:val="16"/>
                <w:szCs w:val="16"/>
              </w:rPr>
              <w:t xml:space="preserve">65 </w:t>
            </w:r>
            <w:r w:rsidRPr="00A93C0A">
              <w:rPr>
                <w:bCs/>
                <w:sz w:val="16"/>
                <w:szCs w:val="16"/>
              </w:rPr>
              <w:t>[0.01</w:t>
            </w:r>
            <w:r>
              <w:rPr>
                <w:bCs/>
                <w:sz w:val="16"/>
                <w:szCs w:val="16"/>
              </w:rPr>
              <w:t>71</w:t>
            </w:r>
            <w:r w:rsidRPr="00A93C0A">
              <w:rPr>
                <w:bCs/>
                <w:sz w:val="16"/>
                <w:szCs w:val="16"/>
              </w:rPr>
              <w:t>,0.03</w:t>
            </w:r>
            <w:r>
              <w:rPr>
                <w:bCs/>
                <w:sz w:val="16"/>
                <w:szCs w:val="16"/>
              </w:rPr>
              <w:t>62</w:t>
            </w:r>
            <w:r w:rsidRPr="00A93C0A">
              <w:rPr>
                <w:bCs/>
                <w:sz w:val="16"/>
                <w:szCs w:val="16"/>
              </w:rPr>
              <w:t>]</w:t>
            </w:r>
          </w:p>
        </w:tc>
      </w:tr>
    </w:tbl>
    <w:p w14:paraId="524E3123" w14:textId="77777777" w:rsidR="0067466B" w:rsidRPr="00A50A5E" w:rsidRDefault="0067466B" w:rsidP="0067466B">
      <w:pPr>
        <w:spacing w:line="480" w:lineRule="auto"/>
        <w:jc w:val="both"/>
        <w:rPr>
          <w:sz w:val="22"/>
          <w:szCs w:val="22"/>
        </w:rPr>
      </w:pPr>
      <w:r w:rsidRPr="00616B90">
        <w:rPr>
          <w:sz w:val="22"/>
          <w:szCs w:val="22"/>
        </w:rPr>
        <w:t>Table 1: Timeline of IRIS data collection and mean referral rate across boroughs B and C over different time periods. We highlight the times of the data collection start and end, as well as the start and end of the service disruption in each borough. These times are labelled in Figures 1(a)-(b).</w:t>
      </w:r>
    </w:p>
    <w:tbl>
      <w:tblPr>
        <w:tblStyle w:val="GridTable5Dark-Accent51"/>
        <w:tblW w:w="8217" w:type="dxa"/>
        <w:tblLook w:val="04A0" w:firstRow="1" w:lastRow="0" w:firstColumn="1" w:lastColumn="0" w:noHBand="0" w:noVBand="1"/>
      </w:tblPr>
      <w:tblGrid>
        <w:gridCol w:w="1500"/>
        <w:gridCol w:w="1500"/>
        <w:gridCol w:w="1925"/>
        <w:gridCol w:w="142"/>
        <w:gridCol w:w="1841"/>
        <w:gridCol w:w="1309"/>
      </w:tblGrid>
      <w:tr w:rsidR="0067466B" w:rsidRPr="004C4105" w14:paraId="3C4857BF" w14:textId="77777777" w:rsidTr="00E52740">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500" w:type="dxa"/>
          </w:tcPr>
          <w:p w14:paraId="1CBFE7CE" w14:textId="77777777" w:rsidR="0067466B" w:rsidRPr="004C4105" w:rsidRDefault="0067466B" w:rsidP="00E52740">
            <w:pPr>
              <w:rPr>
                <w:sz w:val="16"/>
                <w:szCs w:val="16"/>
              </w:rPr>
            </w:pPr>
            <w:r w:rsidRPr="004C4105">
              <w:rPr>
                <w:sz w:val="16"/>
                <w:szCs w:val="16"/>
              </w:rPr>
              <w:t>Borough</w:t>
            </w:r>
          </w:p>
        </w:tc>
        <w:tc>
          <w:tcPr>
            <w:tcW w:w="1500" w:type="dxa"/>
          </w:tcPr>
          <w:p w14:paraId="092C8662" w14:textId="77777777" w:rsidR="0067466B" w:rsidRPr="004C4105" w:rsidRDefault="0067466B" w:rsidP="00E52740">
            <w:pPr>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Observed coefficient</w:t>
            </w:r>
          </w:p>
        </w:tc>
        <w:tc>
          <w:tcPr>
            <w:tcW w:w="2067" w:type="dxa"/>
            <w:gridSpan w:val="2"/>
          </w:tcPr>
          <w:p w14:paraId="0C2C0817" w14:textId="77777777" w:rsidR="0067466B" w:rsidRDefault="0067466B" w:rsidP="00E52740">
            <w:pPr>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 xml:space="preserve">Bootstrap </w:t>
            </w:r>
          </w:p>
          <w:p w14:paraId="103F0D76" w14:textId="77777777" w:rsidR="0067466B" w:rsidRPr="004C4105" w:rsidRDefault="0067466B" w:rsidP="00E52740">
            <w:pPr>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Standard error</w:t>
            </w:r>
          </w:p>
        </w:tc>
        <w:tc>
          <w:tcPr>
            <w:tcW w:w="1841" w:type="dxa"/>
          </w:tcPr>
          <w:p w14:paraId="5DF416B2" w14:textId="77777777" w:rsidR="0067466B" w:rsidRPr="004C4105" w:rsidRDefault="0067466B" w:rsidP="00E5274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IRR [95% CI]</w:t>
            </w:r>
          </w:p>
        </w:tc>
        <w:tc>
          <w:tcPr>
            <w:tcW w:w="1309" w:type="dxa"/>
          </w:tcPr>
          <w:p w14:paraId="781798A8" w14:textId="77777777" w:rsidR="0067466B" w:rsidRPr="004C4105" w:rsidRDefault="0067466B" w:rsidP="00E5274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p-value</w:t>
            </w:r>
          </w:p>
        </w:tc>
      </w:tr>
      <w:tr w:rsidR="0067466B" w:rsidRPr="004C4105" w14:paraId="0720D237" w14:textId="77777777" w:rsidTr="00E52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3E5B17D3" w14:textId="77777777" w:rsidR="0067466B" w:rsidRPr="004C4105" w:rsidRDefault="0067466B" w:rsidP="00E52740">
            <w:pPr>
              <w:rPr>
                <w:sz w:val="18"/>
                <w:szCs w:val="18"/>
              </w:rPr>
            </w:pPr>
            <w:r w:rsidRPr="004C4105">
              <w:rPr>
                <w:sz w:val="18"/>
                <w:szCs w:val="18"/>
              </w:rPr>
              <w:t>B</w:t>
            </w:r>
          </w:p>
        </w:tc>
        <w:tc>
          <w:tcPr>
            <w:tcW w:w="1500" w:type="dxa"/>
          </w:tcPr>
          <w:p w14:paraId="47ADC089" w14:textId="77777777" w:rsidR="0067466B" w:rsidRPr="004C4105" w:rsidRDefault="0067466B" w:rsidP="00E527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-1.202</w:t>
            </w:r>
          </w:p>
        </w:tc>
        <w:tc>
          <w:tcPr>
            <w:tcW w:w="1925" w:type="dxa"/>
          </w:tcPr>
          <w:p w14:paraId="6FC01B2A" w14:textId="77777777" w:rsidR="0067466B" w:rsidRPr="004C4105" w:rsidRDefault="0067466B" w:rsidP="00E527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0.434</w:t>
            </w:r>
          </w:p>
        </w:tc>
        <w:tc>
          <w:tcPr>
            <w:tcW w:w="1983" w:type="dxa"/>
            <w:gridSpan w:val="2"/>
          </w:tcPr>
          <w:p w14:paraId="37DEFA77" w14:textId="77777777" w:rsidR="0067466B" w:rsidRPr="004C4105" w:rsidRDefault="0067466B" w:rsidP="00E527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0.301 [0.128,0.774]</w:t>
            </w:r>
          </w:p>
        </w:tc>
        <w:tc>
          <w:tcPr>
            <w:tcW w:w="1309" w:type="dxa"/>
          </w:tcPr>
          <w:p w14:paraId="003B89C4" w14:textId="77777777" w:rsidR="0067466B" w:rsidRPr="004C4105" w:rsidRDefault="0067466B" w:rsidP="00E527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0.006</w:t>
            </w:r>
          </w:p>
        </w:tc>
      </w:tr>
      <w:tr w:rsidR="0067466B" w:rsidRPr="004C4105" w14:paraId="11F7A2EB" w14:textId="77777777" w:rsidTr="00E52740">
        <w:tc>
          <w:tcPr>
            <w:cnfStyle w:val="001000000000" w:firstRow="0" w:lastRow="0" w:firstColumn="1" w:lastColumn="0" w:oddVBand="0" w:evenVBand="0" w:oddHBand="0" w:evenHBand="0" w:firstRowFirstColumn="0" w:firstRowLastColumn="0" w:lastRowFirstColumn="0" w:lastRowLastColumn="0"/>
            <w:tcW w:w="1500" w:type="dxa"/>
          </w:tcPr>
          <w:p w14:paraId="112D2954" w14:textId="77777777" w:rsidR="0067466B" w:rsidRPr="004C4105" w:rsidRDefault="0067466B" w:rsidP="00E52740">
            <w:pPr>
              <w:rPr>
                <w:sz w:val="18"/>
                <w:szCs w:val="18"/>
              </w:rPr>
            </w:pPr>
            <w:r w:rsidRPr="004C4105">
              <w:rPr>
                <w:sz w:val="18"/>
                <w:szCs w:val="18"/>
              </w:rPr>
              <w:t>C</w:t>
            </w:r>
          </w:p>
        </w:tc>
        <w:tc>
          <w:tcPr>
            <w:tcW w:w="1500" w:type="dxa"/>
          </w:tcPr>
          <w:p w14:paraId="0C9736DA" w14:textId="77777777" w:rsidR="0067466B" w:rsidRPr="004C4105" w:rsidRDefault="0067466B" w:rsidP="00E527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-0.667</w:t>
            </w:r>
          </w:p>
        </w:tc>
        <w:tc>
          <w:tcPr>
            <w:tcW w:w="1925" w:type="dxa"/>
          </w:tcPr>
          <w:p w14:paraId="20200E65" w14:textId="77777777" w:rsidR="0067466B" w:rsidRPr="004C4105" w:rsidRDefault="0067466B" w:rsidP="00E527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0.237</w:t>
            </w:r>
          </w:p>
        </w:tc>
        <w:tc>
          <w:tcPr>
            <w:tcW w:w="1983" w:type="dxa"/>
            <w:gridSpan w:val="2"/>
          </w:tcPr>
          <w:p w14:paraId="08D4F593" w14:textId="77777777" w:rsidR="0067466B" w:rsidRPr="004C4105" w:rsidRDefault="0067466B" w:rsidP="00E527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0.513 [0.322,0.817]</w:t>
            </w:r>
          </w:p>
        </w:tc>
        <w:tc>
          <w:tcPr>
            <w:tcW w:w="1309" w:type="dxa"/>
          </w:tcPr>
          <w:p w14:paraId="6CDDBF0F" w14:textId="77777777" w:rsidR="0067466B" w:rsidRPr="004C4105" w:rsidRDefault="0067466B" w:rsidP="00E527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0.005</w:t>
            </w:r>
          </w:p>
        </w:tc>
      </w:tr>
    </w:tbl>
    <w:p w14:paraId="6431C1FF" w14:textId="77777777" w:rsidR="0067466B" w:rsidRDefault="0067466B" w:rsidP="0067466B">
      <w:pPr>
        <w:spacing w:line="480" w:lineRule="auto"/>
        <w:jc w:val="both"/>
        <w:rPr>
          <w:sz w:val="22"/>
          <w:szCs w:val="22"/>
        </w:rPr>
      </w:pPr>
      <w:r w:rsidRPr="00616B90">
        <w:rPr>
          <w:sz w:val="22"/>
          <w:szCs w:val="22"/>
        </w:rPr>
        <w:t>Table 2: Results from the statistical analysis showing the impact of the interruption of IRIS service (IRR) and the p-value of the IRIS service interruption.</w:t>
      </w:r>
    </w:p>
    <w:p w14:paraId="30361F71" w14:textId="77777777" w:rsidR="003517B1" w:rsidRDefault="003517B1">
      <w:bookmarkStart w:id="0" w:name="_GoBack"/>
      <w:bookmarkEnd w:id="0"/>
    </w:p>
    <w:sectPr w:rsidR="0035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E266C"/>
    <w:multiLevelType w:val="hybridMultilevel"/>
    <w:tmpl w:val="7046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6B"/>
    <w:rsid w:val="000731CB"/>
    <w:rsid w:val="00275F92"/>
    <w:rsid w:val="0029568F"/>
    <w:rsid w:val="00317F7C"/>
    <w:rsid w:val="003517B1"/>
    <w:rsid w:val="0060409E"/>
    <w:rsid w:val="00615B5F"/>
    <w:rsid w:val="0067466B"/>
    <w:rsid w:val="00783965"/>
    <w:rsid w:val="00950ED0"/>
    <w:rsid w:val="009D7BE2"/>
    <w:rsid w:val="00A11F89"/>
    <w:rsid w:val="00A4604F"/>
    <w:rsid w:val="00A571C8"/>
    <w:rsid w:val="00A57C61"/>
    <w:rsid w:val="00B43DCD"/>
    <w:rsid w:val="00C32A2C"/>
    <w:rsid w:val="00CA4D41"/>
    <w:rsid w:val="00CB143C"/>
    <w:rsid w:val="00C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A152"/>
  <w15:chartTrackingRefBased/>
  <w15:docId w15:val="{50CE7ACA-FFB5-4E3A-90FD-C0A0921C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66B"/>
    <w:pPr>
      <w:spacing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qFormat/>
    <w:rsid w:val="00A571C8"/>
    <w:rPr>
      <w:rFonts w:ascii="Times New Roman" w:eastAsiaTheme="majorEastAsia" w:hAnsi="Times New Roman"/>
      <w:kern w:val="0"/>
      <w:sz w:val="24"/>
      <w:lang w:val="en-GB" w:eastAsia="en-US"/>
    </w:rPr>
  </w:style>
  <w:style w:type="character" w:styleId="CommentReference">
    <w:name w:val="annotation reference"/>
    <w:basedOn w:val="DefaultParagraphFont"/>
    <w:semiHidden/>
    <w:unhideWhenUsed/>
    <w:rsid w:val="0067466B"/>
    <w:rPr>
      <w:sz w:val="16"/>
      <w:szCs w:val="16"/>
    </w:rPr>
  </w:style>
  <w:style w:type="paragraph" w:styleId="CommentText">
    <w:name w:val="annotation text"/>
    <w:basedOn w:val="Normal"/>
    <w:link w:val="CommentTextChar"/>
    <w:uiPriority w:val="99"/>
    <w:unhideWhenUsed/>
    <w:rsid w:val="0067466B"/>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67466B"/>
    <w:rPr>
      <w:sz w:val="20"/>
      <w:szCs w:val="20"/>
    </w:rPr>
  </w:style>
  <w:style w:type="paragraph" w:styleId="ListParagraph">
    <w:name w:val="List Paragraph"/>
    <w:basedOn w:val="Normal"/>
    <w:uiPriority w:val="34"/>
    <w:qFormat/>
    <w:rsid w:val="0067466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7466B"/>
    <w:rPr>
      <w:color w:val="0000FF"/>
      <w:u w:val="single"/>
    </w:rPr>
  </w:style>
  <w:style w:type="character" w:customStyle="1" w:styleId="apple-converted-space">
    <w:name w:val="apple-converted-space"/>
    <w:basedOn w:val="DefaultParagraphFont"/>
    <w:rsid w:val="0067466B"/>
  </w:style>
  <w:style w:type="character" w:customStyle="1" w:styleId="mixed-citation">
    <w:name w:val="mixed-citation"/>
    <w:basedOn w:val="DefaultParagraphFont"/>
    <w:rsid w:val="0067466B"/>
  </w:style>
  <w:style w:type="character" w:customStyle="1" w:styleId="ref-title">
    <w:name w:val="ref-title"/>
    <w:basedOn w:val="DefaultParagraphFont"/>
    <w:rsid w:val="0067466B"/>
  </w:style>
  <w:style w:type="character" w:customStyle="1" w:styleId="ref-journal">
    <w:name w:val="ref-journal"/>
    <w:basedOn w:val="DefaultParagraphFont"/>
    <w:rsid w:val="0067466B"/>
  </w:style>
  <w:style w:type="character" w:customStyle="1" w:styleId="ref-vol">
    <w:name w:val="ref-vol"/>
    <w:basedOn w:val="DefaultParagraphFont"/>
    <w:rsid w:val="0067466B"/>
  </w:style>
  <w:style w:type="character" w:customStyle="1" w:styleId="nowrap">
    <w:name w:val="nowrap"/>
    <w:basedOn w:val="DefaultParagraphFont"/>
    <w:rsid w:val="0067466B"/>
  </w:style>
  <w:style w:type="character" w:customStyle="1" w:styleId="highlight">
    <w:name w:val="highlight"/>
    <w:basedOn w:val="DefaultParagraphFont"/>
    <w:rsid w:val="0067466B"/>
  </w:style>
  <w:style w:type="character" w:customStyle="1" w:styleId="element-citation">
    <w:name w:val="element-citation"/>
    <w:basedOn w:val="DefaultParagraphFont"/>
    <w:rsid w:val="0067466B"/>
  </w:style>
  <w:style w:type="table" w:customStyle="1" w:styleId="GridTable5Dark-Accent51">
    <w:name w:val="Grid Table 5 Dark - Accent 51"/>
    <w:basedOn w:val="TableNormal"/>
    <w:uiPriority w:val="50"/>
    <w:rsid w:val="0067466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Formatting Specialist  </dc:creator>
  <cp:keywords/>
  <dc:description/>
  <cp:lastModifiedBy>Academic Formatting Specialist  </cp:lastModifiedBy>
  <cp:revision>1</cp:revision>
  <dcterms:created xsi:type="dcterms:W3CDTF">2019-09-18T16:10:00Z</dcterms:created>
  <dcterms:modified xsi:type="dcterms:W3CDTF">2019-09-18T16:12:00Z</dcterms:modified>
</cp:coreProperties>
</file>