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2E9" w:rsidRPr="004602E9" w:rsidRDefault="004602E9" w:rsidP="004602E9">
      <w:pPr>
        <w:spacing w:line="480" w:lineRule="auto"/>
        <w:jc w:val="both"/>
        <w:rPr>
          <w:rFonts w:ascii="Cambria" w:hAnsi="Cambria"/>
          <w:b/>
          <w:lang w:val="en-US"/>
        </w:rPr>
      </w:pPr>
      <w:r w:rsidRPr="00C60E2D">
        <w:rPr>
          <w:rFonts w:ascii="Cambria" w:hAnsi="Cambria"/>
          <w:b/>
          <w:lang w:val="en-US"/>
        </w:rPr>
        <w:t>Supplementary material</w:t>
      </w:r>
    </w:p>
    <w:p w:rsidR="004602E9" w:rsidRPr="00C00808" w:rsidRDefault="004602E9" w:rsidP="004602E9">
      <w:pPr>
        <w:tabs>
          <w:tab w:val="left" w:pos="567"/>
          <w:tab w:val="left" w:pos="1134"/>
        </w:tabs>
        <w:spacing w:line="480" w:lineRule="auto"/>
        <w:jc w:val="both"/>
        <w:rPr>
          <w:b/>
          <w:lang w:val="en-US"/>
        </w:rPr>
      </w:pPr>
      <w:r w:rsidRPr="00C00808">
        <w:rPr>
          <w:b/>
          <w:lang w:val="en-US"/>
        </w:rPr>
        <w:t>A.</w:t>
      </w:r>
      <w:r w:rsidRPr="00C00808">
        <w:rPr>
          <w:b/>
          <w:lang w:val="en-US"/>
        </w:rPr>
        <w:tab/>
      </w:r>
      <w:r w:rsidRPr="00C00808">
        <w:rPr>
          <w:b/>
          <w:lang w:val="en-US"/>
        </w:rPr>
        <w:tab/>
      </w:r>
      <w:r w:rsidRPr="00C00808">
        <w:rPr>
          <w:b/>
          <w:lang w:val="en-US"/>
        </w:rPr>
        <w:tab/>
      </w:r>
      <w:r w:rsidRPr="00C00808">
        <w:rPr>
          <w:b/>
          <w:lang w:val="en-US"/>
        </w:rPr>
        <w:tab/>
      </w:r>
      <w:r w:rsidRPr="00C00808">
        <w:rPr>
          <w:b/>
          <w:lang w:val="en-US"/>
        </w:rPr>
        <w:tab/>
        <w:t xml:space="preserve">      </w:t>
      </w:r>
    </w:p>
    <w:p w:rsidR="004602E9" w:rsidRPr="00C60E2D" w:rsidRDefault="004602E9" w:rsidP="004602E9">
      <w:pPr>
        <w:spacing w:line="480" w:lineRule="auto"/>
        <w:jc w:val="both"/>
        <w:rPr>
          <w:b/>
          <w:lang w:val="en-US"/>
        </w:rPr>
      </w:pPr>
      <w:r w:rsidRPr="00C60E2D">
        <w:rPr>
          <w:b/>
          <w:noProof/>
          <w:lang w:val="en-US"/>
        </w:rPr>
        <w:drawing>
          <wp:inline distT="0" distB="0" distL="0" distR="0" wp14:anchorId="1D11BE27" wp14:editId="4CB8977D">
            <wp:extent cx="4458123" cy="318753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plot-FigureExtra-DvptTimevsFamily-Aprl2018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562" cy="320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2E9" w:rsidRPr="00C60E2D" w:rsidRDefault="004602E9" w:rsidP="004602E9">
      <w:pPr>
        <w:spacing w:line="480" w:lineRule="auto"/>
        <w:jc w:val="both"/>
        <w:rPr>
          <w:b/>
          <w:lang w:val="en-US"/>
        </w:rPr>
      </w:pPr>
      <w:r>
        <w:rPr>
          <w:b/>
          <w:lang w:val="en-US"/>
        </w:rPr>
        <w:t>B.</w:t>
      </w:r>
    </w:p>
    <w:p w:rsidR="004602E9" w:rsidRPr="00C60E2D" w:rsidRDefault="004602E9" w:rsidP="004602E9">
      <w:pPr>
        <w:spacing w:line="480" w:lineRule="auto"/>
        <w:jc w:val="both"/>
        <w:rPr>
          <w:b/>
          <w:lang w:val="en-US"/>
        </w:rPr>
      </w:pPr>
      <w:r w:rsidRPr="00C60E2D">
        <w:rPr>
          <w:b/>
          <w:noProof/>
          <w:lang w:val="en-US"/>
        </w:rPr>
        <w:drawing>
          <wp:inline distT="0" distB="0" distL="0" distR="0" wp14:anchorId="60986E86" wp14:editId="52D4FBE5">
            <wp:extent cx="4458123" cy="2947875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plot-FigureExtra-SurvivalvsFamily-April201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748" cy="295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2E9" w:rsidRPr="00C60E2D" w:rsidRDefault="004602E9" w:rsidP="004602E9">
      <w:pPr>
        <w:spacing w:line="480" w:lineRule="auto"/>
        <w:ind w:firstLine="1304"/>
        <w:jc w:val="both"/>
        <w:rPr>
          <w:b/>
          <w:lang w:val="en-US"/>
        </w:rPr>
      </w:pPr>
    </w:p>
    <w:p w:rsidR="004602E9" w:rsidRDefault="004602E9" w:rsidP="004602E9">
      <w:pPr>
        <w:spacing w:line="480" w:lineRule="auto"/>
        <w:jc w:val="both"/>
        <w:rPr>
          <w:lang w:val="en-US"/>
        </w:rPr>
      </w:pPr>
      <w:r w:rsidRPr="00C60E2D">
        <w:rPr>
          <w:b/>
          <w:lang w:val="en-US"/>
        </w:rPr>
        <w:t>Figure S1: Between family variations of the effect of microbial depletion through antibiotic treatment on the (A</w:t>
      </w:r>
      <w:r>
        <w:rPr>
          <w:b/>
          <w:lang w:val="en-US"/>
        </w:rPr>
        <w:t>.</w:t>
      </w:r>
      <w:r w:rsidRPr="00C60E2D">
        <w:rPr>
          <w:b/>
          <w:lang w:val="en-US"/>
        </w:rPr>
        <w:t>) development rate to L2 and (B</w:t>
      </w:r>
      <w:r>
        <w:rPr>
          <w:b/>
          <w:lang w:val="en-US"/>
        </w:rPr>
        <w:t>.</w:t>
      </w:r>
      <w:r w:rsidRPr="00C60E2D">
        <w:rPr>
          <w:b/>
          <w:lang w:val="en-US"/>
        </w:rPr>
        <w:t xml:space="preserve">) survival to L3 of pre-diapause larvae. </w:t>
      </w:r>
      <w:r w:rsidRPr="00C60E2D">
        <w:rPr>
          <w:lang w:val="en-US"/>
        </w:rPr>
        <w:t>Data include larvae from 27 families under four different treatments (blue):</w:t>
      </w:r>
      <w:r>
        <w:rPr>
          <w:lang w:val="en-US"/>
        </w:rPr>
        <w:t xml:space="preserve"> antibiotic-treated, </w:t>
      </w:r>
      <w:r>
        <w:rPr>
          <w:lang w:val="en-US"/>
        </w:rPr>
        <w:lastRenderedPageBreak/>
        <w:t>(salmon): antibiotic-</w:t>
      </w:r>
      <w:r w:rsidRPr="00C60E2D">
        <w:rPr>
          <w:lang w:val="en-US"/>
        </w:rPr>
        <w:t>treated even during re-infected, (gray): co</w:t>
      </w:r>
      <w:r>
        <w:rPr>
          <w:lang w:val="en-US"/>
        </w:rPr>
        <w:t>ntrol, and (yellow): antibiotic-</w:t>
      </w:r>
      <w:r w:rsidRPr="00C60E2D">
        <w:rPr>
          <w:lang w:val="en-US"/>
        </w:rPr>
        <w:t>treated followed by re-infection by L7 larval frass.</w:t>
      </w:r>
    </w:p>
    <w:p w:rsidR="004602E9" w:rsidRDefault="004602E9" w:rsidP="004602E9">
      <w:pPr>
        <w:spacing w:line="480" w:lineRule="auto"/>
        <w:jc w:val="both"/>
        <w:rPr>
          <w:lang w:val="en-US"/>
        </w:rPr>
      </w:pPr>
    </w:p>
    <w:p w:rsidR="004602E9" w:rsidRDefault="004602E9" w:rsidP="004602E9">
      <w:pPr>
        <w:spacing w:line="480" w:lineRule="auto"/>
        <w:jc w:val="both"/>
        <w:rPr>
          <w:lang w:val="en-US"/>
        </w:rPr>
      </w:pPr>
    </w:p>
    <w:p w:rsidR="004602E9" w:rsidRDefault="004602E9" w:rsidP="004602E9">
      <w:pPr>
        <w:spacing w:line="480" w:lineRule="auto"/>
        <w:jc w:val="both"/>
        <w:rPr>
          <w:lang w:val="en-US"/>
        </w:rPr>
      </w:pPr>
    </w:p>
    <w:p w:rsidR="004602E9" w:rsidRDefault="004602E9" w:rsidP="004602E9">
      <w:pPr>
        <w:spacing w:line="480" w:lineRule="auto"/>
        <w:jc w:val="both"/>
        <w:rPr>
          <w:lang w:val="en-US"/>
        </w:rPr>
      </w:pPr>
    </w:p>
    <w:p w:rsidR="004602E9" w:rsidRPr="00C60E2D" w:rsidRDefault="004602E9" w:rsidP="004602E9">
      <w:pPr>
        <w:spacing w:line="480" w:lineRule="auto"/>
        <w:jc w:val="both"/>
        <w:rPr>
          <w:b/>
          <w:lang w:val="en-US"/>
        </w:rPr>
      </w:pPr>
      <w:r w:rsidRPr="00C60E2D">
        <w:rPr>
          <w:b/>
          <w:noProof/>
          <w:lang w:val="en-US"/>
        </w:rPr>
        <w:drawing>
          <wp:inline distT="0" distB="0" distL="0" distR="0" wp14:anchorId="4FD06BA3" wp14:editId="09BE3831">
            <wp:extent cx="4801023" cy="3601017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ibio-Figure-Fungi-Samples-Oct2018 copy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741" cy="360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2E9" w:rsidRPr="00C60E2D" w:rsidRDefault="004602E9" w:rsidP="004602E9">
      <w:pPr>
        <w:spacing w:line="480" w:lineRule="auto"/>
        <w:jc w:val="both"/>
        <w:rPr>
          <w:lang w:val="en-US"/>
        </w:rPr>
      </w:pPr>
      <w:r>
        <w:rPr>
          <w:b/>
          <w:lang w:val="en-US"/>
        </w:rPr>
        <w:t>Figure S2</w:t>
      </w:r>
      <w:r w:rsidRPr="00C60E2D">
        <w:rPr>
          <w:b/>
          <w:lang w:val="en-US"/>
        </w:rPr>
        <w:t xml:space="preserve">: </w:t>
      </w:r>
      <w:r>
        <w:rPr>
          <w:b/>
          <w:lang w:val="en-US"/>
        </w:rPr>
        <w:t>The</w:t>
      </w:r>
      <w:r w:rsidRPr="00C60E2D">
        <w:rPr>
          <w:b/>
          <w:lang w:val="en-US"/>
        </w:rPr>
        <w:t xml:space="preserve"> plant-contaminated </w:t>
      </w:r>
      <w:r>
        <w:rPr>
          <w:b/>
          <w:lang w:val="en-US"/>
        </w:rPr>
        <w:t>gut fungal community</w:t>
      </w:r>
      <w:r w:rsidRPr="00C60E2D">
        <w:rPr>
          <w:b/>
          <w:lang w:val="en-US"/>
        </w:rPr>
        <w:t xml:space="preserve"> of pre-diapause larvae of the Glanville fritillary butterfly. </w:t>
      </w:r>
      <w:r w:rsidRPr="00C60E2D">
        <w:rPr>
          <w:lang w:val="en-US"/>
        </w:rPr>
        <w:t>Data include three larvae from each of 13 families, and under four diffe</w:t>
      </w:r>
      <w:r>
        <w:rPr>
          <w:lang w:val="en-US"/>
        </w:rPr>
        <w:t>rent treatments (A): antibiotic-treated, (AR): antibiotic-</w:t>
      </w:r>
      <w:r w:rsidRPr="00C60E2D">
        <w:rPr>
          <w:lang w:val="en-US"/>
        </w:rPr>
        <w:t>treated even during re-infected, (C): cont</w:t>
      </w:r>
      <w:r>
        <w:rPr>
          <w:lang w:val="en-US"/>
        </w:rPr>
        <w:t>rol larvae, and (R): antibiotic-</w:t>
      </w:r>
      <w:r w:rsidRPr="00C60E2D">
        <w:rPr>
          <w:lang w:val="en-US"/>
        </w:rPr>
        <w:t xml:space="preserve">treated followed by re-infection by frass from L7 larvae of the same families. Note the large contamination of the fungal analysis with DNA from </w:t>
      </w:r>
      <w:r w:rsidRPr="00C60E2D">
        <w:rPr>
          <w:i/>
          <w:lang w:val="en-US"/>
        </w:rPr>
        <w:t>Streptophyta</w:t>
      </w:r>
      <w:r w:rsidRPr="00C60E2D">
        <w:rPr>
          <w:lang w:val="en-US"/>
        </w:rPr>
        <w:t>.</w:t>
      </w:r>
      <w:r w:rsidRPr="00C60E2D">
        <w:rPr>
          <w:lang w:val="en-US"/>
        </w:rPr>
        <w:br w:type="page"/>
      </w:r>
    </w:p>
    <w:p w:rsidR="004602E9" w:rsidRDefault="004602E9" w:rsidP="004602E9">
      <w:pPr>
        <w:spacing w:line="480" w:lineRule="auto"/>
        <w:jc w:val="both"/>
        <w:rPr>
          <w:lang w:val="en-US"/>
        </w:rPr>
      </w:pPr>
      <w:r>
        <w:rPr>
          <w:lang w:val="en-US"/>
        </w:rPr>
        <w:t xml:space="preserve">A. </w:t>
      </w:r>
    </w:p>
    <w:p w:rsidR="004602E9" w:rsidRDefault="004602E9" w:rsidP="004602E9">
      <w:pPr>
        <w:spacing w:line="480" w:lineRule="auto"/>
        <w:jc w:val="both"/>
        <w:rPr>
          <w:lang w:val="en-US"/>
        </w:rPr>
      </w:pPr>
      <w:r>
        <w:rPr>
          <w:rFonts w:ascii="Cambria" w:hAnsi="Cambria"/>
          <w:b/>
          <w:noProof/>
          <w:lang w:val="en-US"/>
        </w:rPr>
        <w:drawing>
          <wp:inline distT="0" distB="0" distL="0" distR="0" wp14:anchorId="617E5976" wp14:editId="473ADD68">
            <wp:extent cx="2652666" cy="2744853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-Nov2018-ShannonvsTreatment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346" cy="275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4602E9" w:rsidRPr="00032143" w:rsidRDefault="004602E9" w:rsidP="004602E9">
      <w:pPr>
        <w:spacing w:line="480" w:lineRule="auto"/>
        <w:jc w:val="both"/>
        <w:rPr>
          <w:lang w:val="en-US"/>
        </w:rPr>
      </w:pPr>
      <w:r>
        <w:rPr>
          <w:lang w:val="en-US"/>
        </w:rPr>
        <w:t>B.</w:t>
      </w:r>
    </w:p>
    <w:p w:rsidR="004602E9" w:rsidRDefault="004602E9" w:rsidP="004602E9">
      <w:pPr>
        <w:spacing w:after="160" w:line="480" w:lineRule="auto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84CBAF2" wp14:editId="72AC996C">
            <wp:extent cx="2760545" cy="2777836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plot-July2018-DistCentroid-Treatment-Phylum16S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5382" cy="281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2E9" w:rsidRDefault="004602E9" w:rsidP="004602E9">
      <w:pPr>
        <w:spacing w:after="160" w:line="480" w:lineRule="auto"/>
        <w:jc w:val="both"/>
        <w:rPr>
          <w:lang w:val="en-US"/>
        </w:rPr>
      </w:pPr>
      <w:r>
        <w:rPr>
          <w:lang w:val="en-US"/>
        </w:rPr>
        <w:t>C.</w:t>
      </w:r>
    </w:p>
    <w:p w:rsidR="004602E9" w:rsidRPr="00C60E2D" w:rsidRDefault="004602E9" w:rsidP="004602E9">
      <w:pPr>
        <w:spacing w:after="160" w:line="480" w:lineRule="auto"/>
        <w:jc w:val="both"/>
        <w:rPr>
          <w:lang w:val="en-US"/>
        </w:rPr>
      </w:pPr>
      <w:r w:rsidRPr="00C60E2D">
        <w:rPr>
          <w:rFonts w:ascii="Cambria" w:hAnsi="Cambria"/>
          <w:b/>
          <w:noProof/>
          <w:lang w:val="en-US"/>
        </w:rPr>
        <w:drawing>
          <wp:inline distT="0" distB="0" distL="0" distR="0" wp14:anchorId="6286B753" wp14:editId="6533C4FD">
            <wp:extent cx="2796988" cy="28505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plot-16S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919" cy="288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2E9" w:rsidRDefault="004602E9" w:rsidP="004602E9">
      <w:pPr>
        <w:spacing w:line="480" w:lineRule="auto"/>
        <w:jc w:val="both"/>
        <w:rPr>
          <w:lang w:val="en-US"/>
        </w:rPr>
      </w:pPr>
      <w:r w:rsidRPr="00C60E2D">
        <w:rPr>
          <w:b/>
          <w:lang w:val="en-US"/>
        </w:rPr>
        <w:t xml:space="preserve">Figure </w:t>
      </w:r>
      <w:r>
        <w:rPr>
          <w:b/>
          <w:lang w:val="en-US"/>
        </w:rPr>
        <w:t>S3.</w:t>
      </w:r>
      <w:r w:rsidRPr="00C60E2D">
        <w:rPr>
          <w:b/>
          <w:lang w:val="en-US"/>
        </w:rPr>
        <w:t xml:space="preserve"> Effects of antibiotic treatments on the </w:t>
      </w:r>
      <w:r>
        <w:rPr>
          <w:b/>
          <w:lang w:val="en-US"/>
        </w:rPr>
        <w:t xml:space="preserve">(A.) α-diversity (Shannon index), (B.) heterogeneity (Distance to centroid), and (C.) β-diversity of the </w:t>
      </w:r>
      <w:r w:rsidRPr="00C60E2D">
        <w:rPr>
          <w:b/>
          <w:lang w:val="en-US"/>
        </w:rPr>
        <w:t xml:space="preserve">bacterial gut communities of pre-diapause larvae </w:t>
      </w:r>
      <w:r>
        <w:rPr>
          <w:b/>
          <w:lang w:val="en-US"/>
        </w:rPr>
        <w:t xml:space="preserve">and frass </w:t>
      </w:r>
      <w:r w:rsidRPr="00C60E2D">
        <w:rPr>
          <w:b/>
          <w:lang w:val="en-US"/>
        </w:rPr>
        <w:t>of the Glanville fritillary butterfly</w:t>
      </w:r>
      <w:r>
        <w:rPr>
          <w:b/>
          <w:lang w:val="en-US"/>
        </w:rPr>
        <w:t xml:space="preserve">, and of the larval host plant </w:t>
      </w:r>
      <w:r>
        <w:rPr>
          <w:b/>
          <w:i/>
          <w:lang w:val="en-US"/>
        </w:rPr>
        <w:t>Plantago lanceolata</w:t>
      </w:r>
      <w:r w:rsidRPr="00C60E2D">
        <w:rPr>
          <w:b/>
          <w:lang w:val="en-US"/>
        </w:rPr>
        <w:t xml:space="preserve">. </w:t>
      </w:r>
      <w:r w:rsidRPr="00C60E2D">
        <w:rPr>
          <w:lang w:val="en-US"/>
        </w:rPr>
        <w:t>Data include three larvae from each of 13 families, and under four different treatments</w:t>
      </w:r>
      <w:r>
        <w:rPr>
          <w:lang w:val="en-US"/>
        </w:rPr>
        <w:t>:</w:t>
      </w:r>
      <w:r w:rsidRPr="00C60E2D">
        <w:rPr>
          <w:lang w:val="en-US"/>
        </w:rPr>
        <w:t xml:space="preserve"> (A</w:t>
      </w:r>
      <w:r>
        <w:rPr>
          <w:lang w:val="en-US"/>
        </w:rPr>
        <w:t>-blue- squares</w:t>
      </w:r>
      <w:r w:rsidRPr="00C60E2D">
        <w:rPr>
          <w:lang w:val="en-US"/>
        </w:rPr>
        <w:t>):</w:t>
      </w:r>
      <w:r>
        <w:rPr>
          <w:lang w:val="en-US"/>
        </w:rPr>
        <w:t xml:space="preserve"> antibiotic-</w:t>
      </w:r>
      <w:r w:rsidRPr="00C60E2D">
        <w:rPr>
          <w:lang w:val="en-US"/>
        </w:rPr>
        <w:t>treated, (AR</w:t>
      </w:r>
      <w:r>
        <w:rPr>
          <w:lang w:val="en-US"/>
        </w:rPr>
        <w:t>-orange-circles): antibiotic-</w:t>
      </w:r>
      <w:r w:rsidRPr="00C60E2D">
        <w:rPr>
          <w:lang w:val="en-US"/>
        </w:rPr>
        <w:t>treated even during re-infected, (C</w:t>
      </w:r>
      <w:r>
        <w:rPr>
          <w:lang w:val="en-US"/>
        </w:rPr>
        <w:t>-gray-triangles</w:t>
      </w:r>
      <w:r w:rsidRPr="00C60E2D">
        <w:rPr>
          <w:lang w:val="en-US"/>
        </w:rPr>
        <w:t>): control larvae, and (R</w:t>
      </w:r>
      <w:r>
        <w:rPr>
          <w:lang w:val="en-US"/>
        </w:rPr>
        <w:t>-yellow-+): antibiotic-</w:t>
      </w:r>
      <w:r w:rsidRPr="00C60E2D">
        <w:rPr>
          <w:lang w:val="en-US"/>
        </w:rPr>
        <w:t>treated followed by re-infection by frass from L7 larvae of the same families.</w:t>
      </w:r>
      <w:r>
        <w:rPr>
          <w:lang w:val="en-US"/>
        </w:rPr>
        <w:t xml:space="preserve"> (turquoise-x): frass, and (green-diamond shapes): plant samples.</w:t>
      </w:r>
    </w:p>
    <w:p w:rsidR="004602E9" w:rsidRDefault="004602E9" w:rsidP="004602E9">
      <w:pPr>
        <w:spacing w:after="160" w:line="480" w:lineRule="auto"/>
        <w:rPr>
          <w:lang w:val="en-US"/>
        </w:rPr>
      </w:pPr>
      <w:r>
        <w:rPr>
          <w:lang w:val="en-US"/>
        </w:rPr>
        <w:br w:type="page"/>
      </w:r>
    </w:p>
    <w:p w:rsidR="004602E9" w:rsidRPr="009C71DE" w:rsidRDefault="004602E9" w:rsidP="004602E9">
      <w:pPr>
        <w:jc w:val="both"/>
        <w:rPr>
          <w:lang w:val="en-US"/>
        </w:rPr>
      </w:pPr>
      <w:r w:rsidRPr="009C71DE">
        <w:rPr>
          <w:lang w:val="en-US"/>
        </w:rPr>
        <w:t>A.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9C71DE">
        <w:rPr>
          <w:lang w:val="en-US"/>
        </w:rPr>
        <w:t>B.</w:t>
      </w:r>
    </w:p>
    <w:p w:rsidR="004602E9" w:rsidRPr="00C60E2D" w:rsidRDefault="004602E9" w:rsidP="004602E9">
      <w:pPr>
        <w:spacing w:line="480" w:lineRule="auto"/>
        <w:ind w:left="360"/>
        <w:jc w:val="both"/>
        <w:rPr>
          <w:noProof/>
          <w:lang w:eastAsia="fi-FI"/>
        </w:rPr>
      </w:pPr>
      <w:r>
        <w:rPr>
          <w:noProof/>
          <w:lang w:val="en-US"/>
        </w:rPr>
        <w:drawing>
          <wp:inline distT="0" distB="0" distL="0" distR="0" wp14:anchorId="0E1915F3" wp14:editId="736BBE4D">
            <wp:extent cx="2766097" cy="2656464"/>
            <wp:effectExtent l="0" t="0" r="2540" b="107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lot-Nov2018-ShannonvsFamily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915" cy="26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0E2D">
        <w:rPr>
          <w:noProof/>
          <w:lang w:val="en-US"/>
        </w:rPr>
        <w:drawing>
          <wp:inline distT="0" distB="0" distL="0" distR="0" wp14:anchorId="07708491" wp14:editId="029A5412">
            <wp:extent cx="2902398" cy="2636489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plot-Family-16S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080" cy="264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2E9" w:rsidRPr="00C60E2D" w:rsidRDefault="004602E9" w:rsidP="004602E9">
      <w:pPr>
        <w:spacing w:line="480" w:lineRule="auto"/>
        <w:jc w:val="both"/>
        <w:rPr>
          <w:noProof/>
          <w:lang w:eastAsia="fi-FI"/>
        </w:rPr>
      </w:pPr>
    </w:p>
    <w:p w:rsidR="004602E9" w:rsidRDefault="004602E9" w:rsidP="004602E9">
      <w:pPr>
        <w:spacing w:line="480" w:lineRule="auto"/>
        <w:jc w:val="both"/>
        <w:rPr>
          <w:lang w:val="en-US"/>
        </w:rPr>
      </w:pPr>
      <w:r>
        <w:rPr>
          <w:rFonts w:ascii="Cambria" w:hAnsi="Cambria"/>
          <w:b/>
          <w:lang w:val="en-US"/>
        </w:rPr>
        <w:t>Figure S4</w:t>
      </w:r>
      <w:r w:rsidRPr="00C60E2D">
        <w:rPr>
          <w:rFonts w:ascii="Cambria" w:hAnsi="Cambria"/>
          <w:b/>
          <w:lang w:val="en-US"/>
        </w:rPr>
        <w:t xml:space="preserve">: </w:t>
      </w:r>
      <w:r w:rsidRPr="00C60E2D">
        <w:rPr>
          <w:b/>
          <w:lang w:val="en-US"/>
        </w:rPr>
        <w:t xml:space="preserve">Effects of family on the </w:t>
      </w:r>
      <w:r>
        <w:rPr>
          <w:b/>
          <w:lang w:val="en-US"/>
        </w:rPr>
        <w:t>(A.) α-diversity (Shannon index) and (B.) β-diversity</w:t>
      </w:r>
      <w:r w:rsidRPr="00C60E2D">
        <w:rPr>
          <w:b/>
          <w:lang w:val="en-US"/>
        </w:rPr>
        <w:t xml:space="preserve"> of the gut bacterial communities of pre-diapause larvae</w:t>
      </w:r>
      <w:r>
        <w:rPr>
          <w:b/>
          <w:lang w:val="en-US"/>
        </w:rPr>
        <w:t>, frass</w:t>
      </w:r>
      <w:r w:rsidRPr="00C60E2D">
        <w:rPr>
          <w:b/>
          <w:lang w:val="en-US"/>
        </w:rPr>
        <w:t xml:space="preserve"> </w:t>
      </w:r>
      <w:r>
        <w:rPr>
          <w:b/>
          <w:lang w:val="en-US"/>
        </w:rPr>
        <w:t>and host plant (</w:t>
      </w:r>
      <w:r>
        <w:rPr>
          <w:b/>
          <w:i/>
          <w:lang w:val="en-US"/>
        </w:rPr>
        <w:t xml:space="preserve">Plantago </w:t>
      </w:r>
      <w:r w:rsidRPr="00972A15">
        <w:rPr>
          <w:b/>
          <w:lang w:val="en-US"/>
        </w:rPr>
        <w:t>lanceolata</w:t>
      </w:r>
      <w:r>
        <w:rPr>
          <w:b/>
          <w:lang w:val="en-US"/>
        </w:rPr>
        <w:t>) of</w:t>
      </w:r>
      <w:r w:rsidRPr="00C60E2D">
        <w:rPr>
          <w:b/>
          <w:lang w:val="en-US"/>
        </w:rPr>
        <w:t xml:space="preserve"> the Glanville fritillary butterfly. </w:t>
      </w:r>
      <w:r w:rsidRPr="00C60E2D">
        <w:rPr>
          <w:lang w:val="en-US"/>
        </w:rPr>
        <w:t xml:space="preserve">Data include larvae from 13 families. </w:t>
      </w:r>
      <w:r>
        <w:rPr>
          <w:lang w:val="en-US"/>
        </w:rPr>
        <w:t>Bacter</w:t>
      </w:r>
      <w:r w:rsidRPr="00C60E2D">
        <w:rPr>
          <w:lang w:val="en-US"/>
        </w:rPr>
        <w:t xml:space="preserve">ial communities of five </w:t>
      </w:r>
      <w:r>
        <w:rPr>
          <w:lang w:val="en-US"/>
        </w:rPr>
        <w:t>larval</w:t>
      </w:r>
      <w:r w:rsidRPr="00C60E2D">
        <w:rPr>
          <w:lang w:val="en-US"/>
        </w:rPr>
        <w:t xml:space="preserve"> frass samples and five host plants (1cm</w:t>
      </w:r>
      <w:r w:rsidRPr="00C60E2D">
        <w:rPr>
          <w:vertAlign w:val="superscript"/>
          <w:lang w:val="en-US"/>
        </w:rPr>
        <w:t>2</w:t>
      </w:r>
      <w:r w:rsidRPr="00C60E2D">
        <w:rPr>
          <w:lang w:val="en-US"/>
        </w:rPr>
        <w:t xml:space="preserve"> leave piece/plant) were added to the analysis for comparison. There is no difference between families in the</w:t>
      </w:r>
      <w:r>
        <w:rPr>
          <w:lang w:val="en-US"/>
        </w:rPr>
        <w:t xml:space="preserve"> bacterial community of the gut</w:t>
      </w:r>
      <w:r w:rsidRPr="00C60E2D">
        <w:rPr>
          <w:lang w:val="en-US"/>
        </w:rPr>
        <w:t>.</w:t>
      </w:r>
    </w:p>
    <w:p w:rsidR="004602E9" w:rsidRDefault="004602E9" w:rsidP="004602E9">
      <w:pPr>
        <w:spacing w:line="480" w:lineRule="auto"/>
        <w:jc w:val="both"/>
        <w:rPr>
          <w:lang w:val="en-US"/>
        </w:rPr>
      </w:pPr>
    </w:p>
    <w:p w:rsidR="004602E9" w:rsidRDefault="004602E9" w:rsidP="004602E9">
      <w:pPr>
        <w:spacing w:line="480" w:lineRule="auto"/>
        <w:jc w:val="both"/>
        <w:rPr>
          <w:lang w:val="en-US"/>
        </w:rPr>
      </w:pPr>
    </w:p>
    <w:p w:rsidR="004602E9" w:rsidRDefault="004602E9" w:rsidP="004602E9">
      <w:pPr>
        <w:spacing w:line="480" w:lineRule="auto"/>
        <w:jc w:val="both"/>
        <w:rPr>
          <w:lang w:val="en-US"/>
        </w:rPr>
      </w:pPr>
    </w:p>
    <w:p w:rsidR="004602E9" w:rsidRDefault="004602E9" w:rsidP="004602E9">
      <w:pPr>
        <w:spacing w:line="480" w:lineRule="auto"/>
        <w:jc w:val="both"/>
        <w:rPr>
          <w:lang w:val="en-US"/>
        </w:rPr>
      </w:pPr>
    </w:p>
    <w:p w:rsidR="004602E9" w:rsidRDefault="004602E9" w:rsidP="004602E9">
      <w:pPr>
        <w:spacing w:line="480" w:lineRule="auto"/>
        <w:jc w:val="both"/>
        <w:rPr>
          <w:lang w:val="en-US"/>
        </w:rPr>
      </w:pPr>
    </w:p>
    <w:p w:rsidR="004602E9" w:rsidRDefault="004602E9" w:rsidP="004602E9">
      <w:pPr>
        <w:spacing w:line="480" w:lineRule="auto"/>
        <w:jc w:val="both"/>
        <w:rPr>
          <w:lang w:val="en-US"/>
        </w:rPr>
      </w:pPr>
    </w:p>
    <w:p w:rsidR="004602E9" w:rsidRDefault="004602E9" w:rsidP="004602E9">
      <w:pPr>
        <w:spacing w:line="480" w:lineRule="auto"/>
        <w:jc w:val="both"/>
        <w:rPr>
          <w:lang w:val="en-US"/>
        </w:rPr>
      </w:pPr>
    </w:p>
    <w:p w:rsidR="004602E9" w:rsidRDefault="004602E9" w:rsidP="004602E9">
      <w:pPr>
        <w:spacing w:line="480" w:lineRule="auto"/>
        <w:jc w:val="both"/>
        <w:rPr>
          <w:lang w:val="en-US"/>
        </w:rPr>
      </w:pPr>
    </w:p>
    <w:p w:rsidR="004602E9" w:rsidRDefault="004602E9" w:rsidP="004602E9">
      <w:pPr>
        <w:spacing w:line="480" w:lineRule="auto"/>
        <w:jc w:val="both"/>
        <w:rPr>
          <w:lang w:val="en-US"/>
        </w:rPr>
      </w:pPr>
    </w:p>
    <w:p w:rsidR="004602E9" w:rsidRDefault="004602E9" w:rsidP="004602E9">
      <w:pPr>
        <w:spacing w:line="480" w:lineRule="auto"/>
        <w:jc w:val="both"/>
        <w:rPr>
          <w:lang w:val="en-US"/>
        </w:rPr>
      </w:pPr>
    </w:p>
    <w:p w:rsidR="004602E9" w:rsidRPr="00C60E2D" w:rsidRDefault="004602E9" w:rsidP="004602E9">
      <w:pPr>
        <w:spacing w:line="480" w:lineRule="auto"/>
        <w:jc w:val="both"/>
        <w:rPr>
          <w:lang w:val="en-US"/>
        </w:rPr>
      </w:pPr>
    </w:p>
    <w:p w:rsidR="004602E9" w:rsidRPr="00C60E2D" w:rsidRDefault="004602E9" w:rsidP="004602E9">
      <w:pPr>
        <w:tabs>
          <w:tab w:val="left" w:pos="567"/>
          <w:tab w:val="left" w:pos="1134"/>
        </w:tabs>
        <w:jc w:val="both"/>
        <w:rPr>
          <w:lang w:val="en-US"/>
        </w:rPr>
      </w:pPr>
      <w:r>
        <w:rPr>
          <w:lang w:val="en-US"/>
        </w:rPr>
        <w:t>A.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 xml:space="preserve">     B.</w:t>
      </w:r>
    </w:p>
    <w:p w:rsidR="004602E9" w:rsidRDefault="004602E9" w:rsidP="004602E9">
      <w:pPr>
        <w:spacing w:line="480" w:lineRule="auto"/>
        <w:jc w:val="both"/>
        <w:rPr>
          <w:lang w:val="en-US"/>
        </w:rPr>
      </w:pPr>
      <w:r w:rsidRPr="00C60E2D">
        <w:rPr>
          <w:noProof/>
          <w:lang w:val="en-US" w:eastAsia="fi-FI"/>
        </w:rPr>
        <w:t xml:space="preserve"> </w:t>
      </w:r>
      <w:r w:rsidRPr="00C60E2D">
        <w:rPr>
          <w:noProof/>
          <w:lang w:val="en-US"/>
        </w:rPr>
        <w:drawing>
          <wp:inline distT="0" distB="0" distL="0" distR="0" wp14:anchorId="0BC8958D" wp14:editId="291DFF11">
            <wp:extent cx="2790825" cy="276968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plot-PC1vsDvptL2-August2018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961" cy="278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C60E2D">
        <w:rPr>
          <w:noProof/>
          <w:lang w:val="en-US"/>
        </w:rPr>
        <w:drawing>
          <wp:inline distT="0" distB="0" distL="0" distR="0" wp14:anchorId="7ECEF588" wp14:editId="64AE51BF">
            <wp:extent cx="2790825" cy="276968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plot-PC1vsSurvivaalD13-August2018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580" cy="277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602E9" w:rsidRPr="009644FA" w:rsidRDefault="004602E9" w:rsidP="004602E9">
      <w:pPr>
        <w:spacing w:line="480" w:lineRule="auto"/>
        <w:jc w:val="both"/>
        <w:rPr>
          <w:lang w:val="en-US"/>
        </w:rPr>
      </w:pPr>
      <w:r>
        <w:rPr>
          <w:b/>
          <w:lang w:val="en-US"/>
        </w:rPr>
        <w:t>Figure S5</w:t>
      </w:r>
      <w:r w:rsidRPr="00C60E2D">
        <w:rPr>
          <w:b/>
          <w:lang w:val="en-US"/>
        </w:rPr>
        <w:t xml:space="preserve">: PC1 values from the metabolite study according to (A) development time to L2 and (B) survival to L3 of pre-diapause larvae for each treatment group. </w:t>
      </w:r>
      <w:r w:rsidRPr="00C60E2D">
        <w:rPr>
          <w:lang w:val="en-US"/>
        </w:rPr>
        <w:t>Average data from up to three larvae from 13 families reared under four treatment groups:</w:t>
      </w:r>
      <w:r>
        <w:rPr>
          <w:lang w:val="en-US"/>
        </w:rPr>
        <w:t xml:space="preserve"> (</w:t>
      </w:r>
      <w:r w:rsidRPr="00C60E2D">
        <w:rPr>
          <w:lang w:val="en-US"/>
        </w:rPr>
        <w:t>A</w:t>
      </w:r>
      <w:r>
        <w:rPr>
          <w:lang w:val="en-US"/>
        </w:rPr>
        <w:t>-Blue): antibiotic-treated, (</w:t>
      </w:r>
      <w:r w:rsidRPr="00C60E2D">
        <w:rPr>
          <w:lang w:val="en-US"/>
        </w:rPr>
        <w:t>AR</w:t>
      </w:r>
      <w:r>
        <w:rPr>
          <w:lang w:val="en-US"/>
        </w:rPr>
        <w:t>-Orange):</w:t>
      </w:r>
      <w:r w:rsidRPr="00C60E2D">
        <w:rPr>
          <w:lang w:val="en-US"/>
        </w:rPr>
        <w:t xml:space="preserve"> antibi</w:t>
      </w:r>
      <w:r>
        <w:rPr>
          <w:lang w:val="en-US"/>
        </w:rPr>
        <w:t>otic-</w:t>
      </w:r>
      <w:r w:rsidRPr="00C60E2D">
        <w:rPr>
          <w:lang w:val="en-US"/>
        </w:rPr>
        <w:t>treated e</w:t>
      </w:r>
      <w:r>
        <w:rPr>
          <w:lang w:val="en-US"/>
        </w:rPr>
        <w:t>ven during re-infected, (</w:t>
      </w:r>
      <w:r w:rsidRPr="00C60E2D">
        <w:rPr>
          <w:lang w:val="en-US"/>
        </w:rPr>
        <w:t>C</w:t>
      </w:r>
      <w:r>
        <w:rPr>
          <w:lang w:val="en-US"/>
        </w:rPr>
        <w:t>-Gray): control, and (</w:t>
      </w:r>
      <w:r w:rsidRPr="00C60E2D">
        <w:rPr>
          <w:lang w:val="en-US"/>
        </w:rPr>
        <w:t>R</w:t>
      </w:r>
      <w:r>
        <w:rPr>
          <w:lang w:val="en-US"/>
        </w:rPr>
        <w:t>-Yellow): antibiotic-</w:t>
      </w:r>
      <w:r w:rsidRPr="00C60E2D">
        <w:rPr>
          <w:lang w:val="en-US"/>
        </w:rPr>
        <w:t>treated followed by re-infection by L7 larval frass. Ellipses give the 2% confidence interval for respective treatment group.</w:t>
      </w:r>
    </w:p>
    <w:p w:rsidR="00280024" w:rsidRDefault="00280024"/>
    <w:sectPr w:rsidR="00280024" w:rsidSect="003D4D65">
      <w:footerReference w:type="default" r:id="rId15"/>
      <w:pgSz w:w="11906" w:h="16838"/>
      <w:pgMar w:top="1417" w:right="1134" w:bottom="1417" w:left="1134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62132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54940" w:rsidRDefault="004602E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54940" w:rsidRDefault="004602E9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2E9"/>
    <w:rsid w:val="00280024"/>
    <w:rsid w:val="004602E9"/>
    <w:rsid w:val="00EB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0A9389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2E9"/>
    <w:rPr>
      <w:rFonts w:ascii="Times New Roman" w:eastAsia="Times New Roman" w:hAnsi="Times New Roman" w:cs="Times New Roman"/>
      <w:lang w:val="fi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16A"/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16A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602E9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02E9"/>
    <w:rPr>
      <w:rFonts w:ascii="Times New Roman" w:eastAsia="Times New Roman" w:hAnsi="Times New Roman" w:cs="Times New Roman"/>
      <w:lang w:val="fi-FI"/>
    </w:rPr>
  </w:style>
  <w:style w:type="character" w:styleId="LineNumber">
    <w:name w:val="line number"/>
    <w:basedOn w:val="DefaultParagraphFont"/>
    <w:uiPriority w:val="99"/>
    <w:semiHidden/>
    <w:unhideWhenUsed/>
    <w:rsid w:val="004602E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2E9"/>
    <w:rPr>
      <w:rFonts w:ascii="Times New Roman" w:eastAsia="Times New Roman" w:hAnsi="Times New Roman" w:cs="Times New Roman"/>
      <w:lang w:val="fi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16A"/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16A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602E9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02E9"/>
    <w:rPr>
      <w:rFonts w:ascii="Times New Roman" w:eastAsia="Times New Roman" w:hAnsi="Times New Roman" w:cs="Times New Roman"/>
      <w:lang w:val="fi-FI"/>
    </w:rPr>
  </w:style>
  <w:style w:type="character" w:styleId="LineNumber">
    <w:name w:val="line number"/>
    <w:basedOn w:val="DefaultParagraphFont"/>
    <w:uiPriority w:val="99"/>
    <w:semiHidden/>
    <w:unhideWhenUsed/>
    <w:rsid w:val="00460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tiff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emf"/><Relationship Id="rId8" Type="http://schemas.openxmlformats.org/officeDocument/2006/relationships/image" Target="media/image4.tiff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408</Words>
  <Characters>2329</Characters>
  <Application>Microsoft Macintosh Word</Application>
  <DocSecurity>0</DocSecurity>
  <Lines>19</Lines>
  <Paragraphs>5</Paragraphs>
  <ScaleCrop>false</ScaleCrop>
  <Company>Lund University</Company>
  <LinksUpToDate>false</LinksUpToDate>
  <CharactersWithSpaces>2732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Duplouy</dc:creator>
  <cp:keywords/>
  <dc:description/>
  <cp:lastModifiedBy>Anne Duplouy</cp:lastModifiedBy>
  <cp:revision>1</cp:revision>
  <dcterms:created xsi:type="dcterms:W3CDTF">2020-01-16T09:27:00Z</dcterms:created>
  <dcterms:modified xsi:type="dcterms:W3CDTF">2020-01-16T09:29:00Z</dcterms:modified>
</cp:coreProperties>
</file>