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10D9" w14:textId="77777777" w:rsidR="00876C49" w:rsidRPr="002D1226" w:rsidRDefault="00876C49" w:rsidP="00876C49">
      <w:pPr>
        <w:spacing w:after="0" w:line="480" w:lineRule="auto"/>
        <w:rPr>
          <w:rFonts w:ascii="Times New Roman" w:hAnsi="Times New Roman"/>
          <w:szCs w:val="24"/>
        </w:rPr>
      </w:pPr>
      <w:r w:rsidRPr="002D1226">
        <w:rPr>
          <w:rFonts w:ascii="Times New Roman" w:hAnsi="Times New Roman"/>
          <w:szCs w:val="24"/>
        </w:rPr>
        <w:t>Supplementary table 1. Association between fatty liver index and new onset h</w:t>
      </w:r>
      <w:r>
        <w:rPr>
          <w:rFonts w:ascii="Times New Roman" w:hAnsi="Times New Roman"/>
          <w:szCs w:val="24"/>
        </w:rPr>
        <w:t>eart failure</w:t>
      </w:r>
    </w:p>
    <w:p w14:paraId="477B3531" w14:textId="77777777" w:rsidR="00876C49" w:rsidRPr="002D1226" w:rsidRDefault="00876C49" w:rsidP="00876C49">
      <w:pPr>
        <w:spacing w:after="0" w:line="480" w:lineRule="auto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906"/>
        <w:gridCol w:w="1448"/>
        <w:gridCol w:w="1027"/>
        <w:gridCol w:w="1082"/>
        <w:gridCol w:w="897"/>
        <w:gridCol w:w="1027"/>
        <w:gridCol w:w="1085"/>
        <w:gridCol w:w="897"/>
        <w:gridCol w:w="1027"/>
        <w:gridCol w:w="1082"/>
        <w:gridCol w:w="897"/>
      </w:tblGrid>
      <w:tr w:rsidR="00876C49" w:rsidRPr="002D1226" w14:paraId="1EC5D9D4" w14:textId="77777777" w:rsidTr="002E3660">
        <w:trPr>
          <w:trHeight w:val="93"/>
        </w:trPr>
        <w:tc>
          <w:tcPr>
            <w:tcW w:w="172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CB462E7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  <w:t xml:space="preserve">FLI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F432A69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  <w:t>N.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EBEC69A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New onset HF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5CE3A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Univariate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371B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Model 1*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FA47B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Model 2</w:t>
            </w:r>
            <w:r w:rsidRPr="002D1226">
              <w:rPr>
                <w:rFonts w:ascii="Times New Roman" w:eastAsia="Malgun Gothic" w:hAnsi="Times New Roman" w:cstheme="minorBidi"/>
                <w:color w:val="000000"/>
                <w:kern w:val="0"/>
                <w:sz w:val="24"/>
                <w:vertAlign w:val="superscript"/>
              </w:rPr>
              <w:t>†</w:t>
            </w:r>
          </w:p>
        </w:tc>
      </w:tr>
      <w:tr w:rsidR="00876C49" w:rsidRPr="002D1226" w14:paraId="3E6CCAA1" w14:textId="77777777" w:rsidTr="002E3660">
        <w:trPr>
          <w:trHeight w:val="286"/>
        </w:trPr>
        <w:tc>
          <w:tcPr>
            <w:tcW w:w="172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7426565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938A331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CD95DED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1FBE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HR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FA346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95% CI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799CF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 w:hint="eastAsia"/>
                <w:szCs w:val="20"/>
              </w:rPr>
              <w:t>P</w:t>
            </w:r>
            <w:r w:rsidRPr="002D1226">
              <w:rPr>
                <w:rFonts w:ascii="Times New Roman" w:hAnsi="Times New Roman"/>
                <w:szCs w:val="20"/>
              </w:rPr>
              <w:t>-value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46AD2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HR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E535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95% CI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2A2D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 w:hint="eastAsia"/>
                <w:szCs w:val="20"/>
              </w:rPr>
              <w:t>P</w:t>
            </w:r>
            <w:r w:rsidRPr="002D1226">
              <w:rPr>
                <w:rFonts w:ascii="Times New Roman" w:hAnsi="Times New Roman"/>
                <w:szCs w:val="20"/>
              </w:rPr>
              <w:t>-value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C701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HR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5637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/>
                <w:szCs w:val="20"/>
              </w:rPr>
              <w:t>95% CI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688E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/>
                <w:szCs w:val="20"/>
              </w:rPr>
            </w:pPr>
            <w:r w:rsidRPr="002D1226">
              <w:rPr>
                <w:rFonts w:ascii="Times New Roman" w:hAnsi="Times New Roman" w:hint="eastAsia"/>
                <w:szCs w:val="20"/>
              </w:rPr>
              <w:t>P</w:t>
            </w:r>
            <w:r w:rsidRPr="002D1226">
              <w:rPr>
                <w:rFonts w:ascii="Times New Roman" w:hAnsi="Times New Roman"/>
                <w:szCs w:val="20"/>
              </w:rPr>
              <w:t>-value</w:t>
            </w:r>
          </w:p>
        </w:tc>
      </w:tr>
      <w:tr w:rsidR="00876C49" w:rsidRPr="002D1226" w14:paraId="5986F92F" w14:textId="77777777" w:rsidTr="002E3660">
        <w:trPr>
          <w:trHeight w:val="230"/>
        </w:trPr>
        <w:tc>
          <w:tcPr>
            <w:tcW w:w="1723" w:type="dxa"/>
            <w:tcBorders>
              <w:top w:val="single" w:sz="4" w:space="0" w:color="auto"/>
              <w:bottom w:val="nil"/>
            </w:tcBorders>
            <w:vAlign w:val="center"/>
          </w:tcPr>
          <w:p w14:paraId="6EA6616B" w14:textId="77777777" w:rsidR="00876C49" w:rsidRPr="002D1226" w:rsidRDefault="00876C49" w:rsidP="002E3660">
            <w:pPr>
              <w:jc w:val="left"/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</w:pPr>
            <w:r w:rsidRPr="002D1226">
              <w:rPr>
                <w:rFonts w:ascii="Times New Roman" w:eastAsia="Malgun Gothic" w:hAnsi="Times New Roman" w:hint="eastAsia"/>
                <w:color w:val="000000"/>
                <w:kern w:val="0"/>
                <w:szCs w:val="20"/>
              </w:rPr>
              <w:t>F</w:t>
            </w:r>
            <w:r w:rsidRPr="002D1226"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  <w:t xml:space="preserve">LI </w:t>
            </w:r>
            <w:r w:rsidRPr="002D1226">
              <w:rPr>
                <w:rFonts w:ascii="Times New Roman" w:hAnsi="Times New Roman" w:cstheme="minorBidi"/>
                <w:szCs w:val="20"/>
              </w:rPr>
              <w:t>criteria</w:t>
            </w:r>
            <w:r w:rsidRPr="002D1226"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  <w:t xml:space="preserve"> 1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vAlign w:val="center"/>
          </w:tcPr>
          <w:p w14:paraId="7FF44B64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vAlign w:val="center"/>
          </w:tcPr>
          <w:p w14:paraId="59FD2F8A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14:paraId="6115B6D8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  <w:vAlign w:val="center"/>
          </w:tcPr>
          <w:p w14:paraId="19146406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3E4DEEB4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14:paraId="4ECB55E4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nil"/>
            </w:tcBorders>
            <w:vAlign w:val="center"/>
          </w:tcPr>
          <w:p w14:paraId="69AAF83F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5F0282B8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vAlign w:val="center"/>
          </w:tcPr>
          <w:p w14:paraId="7E5DB404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6BD00239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eastAsia="Malgun Gothic" w:hAnsi="Times New Roman"/>
                <w:color w:val="00000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center"/>
          </w:tcPr>
          <w:p w14:paraId="25F23FD1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876C49" w:rsidRPr="002D1226" w14:paraId="23299A0E" w14:textId="77777777" w:rsidTr="002E3660">
        <w:trPr>
          <w:trHeight w:val="230"/>
        </w:trPr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2A126C1F" w14:textId="77777777" w:rsidR="00876C49" w:rsidRPr="002D1226" w:rsidRDefault="00876C49" w:rsidP="002E3660">
            <w:pPr>
              <w:jc w:val="left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0 ≤ FLI &lt; 30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1FCAB841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228,136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3F0B6B08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1,608(0.7)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415EE72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R</w:t>
            </w:r>
            <w:r w:rsidRPr="002D1226">
              <w:rPr>
                <w:rFonts w:ascii="Times New Roman" w:hAnsi="Times New Roman" w:cstheme="minorBidi" w:hint="eastAsia"/>
                <w:szCs w:val="20"/>
              </w:rPr>
              <w:t>ef</w:t>
            </w:r>
            <w:r w:rsidRPr="002D1226">
              <w:rPr>
                <w:rFonts w:ascii="Times New Roman" w:hAnsi="Times New Roman" w:cstheme="minorBidi"/>
                <w:szCs w:val="20"/>
              </w:rPr>
              <w:t>erence</w:t>
            </w: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14:paraId="48694B67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0A7E8CE8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3F055A2" w14:textId="77777777" w:rsidR="00876C49" w:rsidRPr="002D1226" w:rsidRDefault="00876C49" w:rsidP="002E366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R</w:t>
            </w:r>
            <w:r w:rsidRPr="002D1226">
              <w:rPr>
                <w:rFonts w:ascii="Times New Roman" w:hAnsi="Times New Roman" w:cstheme="minorBidi" w:hint="eastAsia"/>
                <w:szCs w:val="20"/>
              </w:rPr>
              <w:t>ef</w:t>
            </w:r>
            <w:r w:rsidRPr="002D1226">
              <w:rPr>
                <w:rFonts w:ascii="Times New Roman" w:hAnsi="Times New Roman" w:cstheme="minorBidi"/>
                <w:szCs w:val="20"/>
              </w:rPr>
              <w:t>erence</w:t>
            </w:r>
          </w:p>
        </w:tc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14:paraId="2611E7EB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17FAE177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EA84376" w14:textId="77777777" w:rsidR="00876C49" w:rsidRPr="002D1226" w:rsidRDefault="00876C49" w:rsidP="002E366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R</w:t>
            </w:r>
            <w:r w:rsidRPr="002D1226">
              <w:rPr>
                <w:rFonts w:ascii="Times New Roman" w:hAnsi="Times New Roman" w:cstheme="minorBidi" w:hint="eastAsia"/>
                <w:szCs w:val="20"/>
              </w:rPr>
              <w:t>ef</w:t>
            </w:r>
            <w:r w:rsidRPr="002D1226">
              <w:rPr>
                <w:rFonts w:ascii="Times New Roman" w:hAnsi="Times New Roman" w:cstheme="minorBidi"/>
                <w:szCs w:val="20"/>
              </w:rPr>
              <w:t>erence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center"/>
          </w:tcPr>
          <w:p w14:paraId="6830C64E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32348045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</w:tr>
      <w:tr w:rsidR="00876C49" w:rsidRPr="002D1226" w14:paraId="096EF329" w14:textId="77777777" w:rsidTr="002E3660">
        <w:trPr>
          <w:trHeight w:val="230"/>
        </w:trPr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0E07CD67" w14:textId="77777777" w:rsidR="00876C49" w:rsidRPr="002D1226" w:rsidRDefault="00876C49" w:rsidP="002E3660">
            <w:pPr>
              <w:jc w:val="left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30 ≤ FLI &lt; 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C5F9260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54,563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597F6249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614(1.1)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06EA7C90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1.538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6CB96552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1.402-1.688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1F70DFCB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484642E4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1.376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A80FDFE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1.250-1.514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19CD8F5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093C0720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1.320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EE9FB1D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1.198-1.453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515372FB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</w:tr>
      <w:tr w:rsidR="00876C49" w:rsidRPr="002D1226" w14:paraId="477922FE" w14:textId="77777777" w:rsidTr="002E3660">
        <w:trPr>
          <w:trHeight w:val="230"/>
        </w:trPr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0073158F" w14:textId="77777777" w:rsidR="00876C49" w:rsidRPr="002D1226" w:rsidRDefault="00876C49" w:rsidP="002E3660">
            <w:pPr>
              <w:jc w:val="left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FLI ≥ 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A0EC220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25,879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033A21CB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310(1.2)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682F115B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1.669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70B9BB21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1.478-1.885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204CE77D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41595BAF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1.961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1C1F2809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1.727-2.227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24FA47A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465D9E6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1.849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26536E2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1.622-2.106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FF725FC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</w:tr>
      <w:tr w:rsidR="00876C49" w:rsidRPr="002D1226" w14:paraId="53FE9772" w14:textId="77777777" w:rsidTr="002E3660">
        <w:trPr>
          <w:trHeight w:val="230"/>
        </w:trPr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0D405127" w14:textId="77777777" w:rsidR="00876C49" w:rsidRPr="002D1226" w:rsidRDefault="00876C49" w:rsidP="002E3660">
            <w:pPr>
              <w:jc w:val="left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FLI criteria 2‡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14:paraId="777607B4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  <w:vAlign w:val="center"/>
          </w:tcPr>
          <w:p w14:paraId="0612699F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B6ABB87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14:paraId="18A8D774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205E3377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8E92A28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14:paraId="040316C7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058D8665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16989B7" w14:textId="77777777" w:rsidR="00876C49" w:rsidRPr="002D1226" w:rsidRDefault="00876C49" w:rsidP="002E3660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  <w:vAlign w:val="center"/>
          </w:tcPr>
          <w:p w14:paraId="68D4EDB8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4BB0AD8B" w14:textId="77777777" w:rsidR="00876C49" w:rsidRPr="002D1226" w:rsidRDefault="00876C49" w:rsidP="002E3660">
            <w:pPr>
              <w:spacing w:line="480" w:lineRule="auto"/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</w:tr>
      <w:tr w:rsidR="00876C49" w:rsidRPr="002D1226" w14:paraId="46285137" w14:textId="77777777" w:rsidTr="002E3660">
        <w:trPr>
          <w:trHeight w:val="230"/>
        </w:trPr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6904C41B" w14:textId="77777777" w:rsidR="00876C49" w:rsidRPr="002D1226" w:rsidRDefault="00876C49" w:rsidP="002E3660">
            <w:pPr>
              <w:jc w:val="left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Low probability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76E43BE3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178,464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CDA6BE0" w14:textId="77777777" w:rsidR="00876C49" w:rsidRPr="002D1226" w:rsidRDefault="00876C49" w:rsidP="002E366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10,20(0.6)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2694651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R</w:t>
            </w:r>
            <w:r w:rsidRPr="002D1226">
              <w:rPr>
                <w:rFonts w:ascii="Times New Roman" w:hAnsi="Times New Roman" w:cstheme="minorBidi" w:hint="eastAsia"/>
                <w:szCs w:val="20"/>
              </w:rPr>
              <w:t>ef</w:t>
            </w:r>
            <w:r w:rsidRPr="002D1226">
              <w:rPr>
                <w:rFonts w:ascii="Times New Roman" w:hAnsi="Times New Roman" w:cstheme="minorBidi"/>
                <w:szCs w:val="20"/>
              </w:rPr>
              <w:t>erence</w:t>
            </w: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14:paraId="2BBB7861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5205EABE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80B5C21" w14:textId="77777777" w:rsidR="00876C49" w:rsidRPr="002D1226" w:rsidRDefault="00876C49" w:rsidP="002E366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R</w:t>
            </w:r>
            <w:r w:rsidRPr="002D1226">
              <w:rPr>
                <w:rFonts w:ascii="Times New Roman" w:hAnsi="Times New Roman" w:cstheme="minorBidi" w:hint="eastAsia"/>
                <w:szCs w:val="20"/>
              </w:rPr>
              <w:t>ef</w:t>
            </w:r>
            <w:r w:rsidRPr="002D1226">
              <w:rPr>
                <w:rFonts w:ascii="Times New Roman" w:hAnsi="Times New Roman" w:cstheme="minorBidi"/>
                <w:szCs w:val="20"/>
              </w:rPr>
              <w:t>erence</w:t>
            </w:r>
          </w:p>
        </w:tc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14:paraId="76DA4769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2EF276CA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6C3EFBD" w14:textId="77777777" w:rsidR="00876C49" w:rsidRPr="002D1226" w:rsidRDefault="00876C49" w:rsidP="002E366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R</w:t>
            </w:r>
            <w:r w:rsidRPr="002D1226">
              <w:rPr>
                <w:rFonts w:ascii="Times New Roman" w:hAnsi="Times New Roman" w:cstheme="minorBidi" w:hint="eastAsia"/>
                <w:szCs w:val="20"/>
              </w:rPr>
              <w:t>ef</w:t>
            </w:r>
            <w:r w:rsidRPr="002D1226">
              <w:rPr>
                <w:rFonts w:ascii="Times New Roman" w:hAnsi="Times New Roman" w:cstheme="minorBidi"/>
                <w:szCs w:val="20"/>
              </w:rPr>
              <w:t>erence</w:t>
            </w:r>
          </w:p>
        </w:tc>
        <w:tc>
          <w:tcPr>
            <w:tcW w:w="1216" w:type="dxa"/>
            <w:tcBorders>
              <w:top w:val="nil"/>
              <w:bottom w:val="nil"/>
            </w:tcBorders>
            <w:vAlign w:val="center"/>
          </w:tcPr>
          <w:p w14:paraId="45D0DCA8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14:paraId="78ADFF4E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</w:p>
        </w:tc>
      </w:tr>
      <w:tr w:rsidR="00876C49" w:rsidRPr="002D1226" w14:paraId="07118DE7" w14:textId="77777777" w:rsidTr="002E3660">
        <w:trPr>
          <w:trHeight w:val="230"/>
        </w:trPr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14:paraId="13C08AD1" w14:textId="77777777" w:rsidR="00876C49" w:rsidRPr="002D1226" w:rsidRDefault="00876C49" w:rsidP="002E3660">
            <w:pPr>
              <w:jc w:val="left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Intermediate probability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14:paraId="5C9A339D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46,892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14:paraId="22BAF703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480(1.0)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9A2F3EB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1.735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14:paraId="7B7489A9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1.556-1.933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40D20C02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5238D0E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1.233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4FE7343E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1.105-1.376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73CC0669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51EECD1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1.196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E7005BD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1.072-1.334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14:paraId="6A98E838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0.001</w:t>
            </w:r>
          </w:p>
        </w:tc>
      </w:tr>
      <w:tr w:rsidR="00876C49" w:rsidRPr="002D1226" w14:paraId="1E2F080A" w14:textId="77777777" w:rsidTr="002E3660">
        <w:trPr>
          <w:trHeight w:val="230"/>
        </w:trPr>
        <w:tc>
          <w:tcPr>
            <w:tcW w:w="1723" w:type="dxa"/>
            <w:tcBorders>
              <w:top w:val="nil"/>
              <w:bottom w:val="single" w:sz="4" w:space="0" w:color="auto"/>
            </w:tcBorders>
            <w:vAlign w:val="center"/>
          </w:tcPr>
          <w:p w14:paraId="477D9D6D" w14:textId="77777777" w:rsidR="00876C49" w:rsidRPr="002D1226" w:rsidRDefault="00876C49" w:rsidP="002E3660">
            <w:pPr>
              <w:jc w:val="left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High probability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14:paraId="390D3584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83,222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14:paraId="4ACAD767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1,032(1.2)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14:paraId="62B66B13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2.104</w:t>
            </w: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</w:tcPr>
          <w:p w14:paraId="0B369DE2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1.930-2.294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4953A2BF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14:paraId="28974358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1.631</w:t>
            </w:r>
          </w:p>
        </w:tc>
        <w:tc>
          <w:tcPr>
            <w:tcW w:w="1219" w:type="dxa"/>
            <w:tcBorders>
              <w:top w:val="nil"/>
              <w:bottom w:val="single" w:sz="4" w:space="0" w:color="auto"/>
            </w:tcBorders>
          </w:tcPr>
          <w:p w14:paraId="4DFF4529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1.496-1.779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550D0697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14:paraId="6FC2C0BE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1.557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14:paraId="1D693CD3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1.423-1.704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14:paraId="694F319B" w14:textId="77777777" w:rsidR="00876C49" w:rsidRPr="002D1226" w:rsidRDefault="00876C49" w:rsidP="002E3660">
            <w:pPr>
              <w:jc w:val="center"/>
              <w:rPr>
                <w:rFonts w:ascii="Times New Roman" w:hAnsi="Times New Roman" w:cstheme="minorBidi"/>
                <w:szCs w:val="20"/>
              </w:rPr>
            </w:pPr>
            <w:r w:rsidRPr="002D1226">
              <w:rPr>
                <w:rFonts w:ascii="Times New Roman" w:hAnsi="Times New Roman" w:cstheme="minorBidi"/>
                <w:szCs w:val="20"/>
              </w:rPr>
              <w:t>&lt;0.001</w:t>
            </w:r>
          </w:p>
        </w:tc>
      </w:tr>
    </w:tbl>
    <w:p w14:paraId="0D541D5C" w14:textId="77777777" w:rsidR="00876C49" w:rsidRPr="002D1226" w:rsidRDefault="00876C49" w:rsidP="00876C49">
      <w:pPr>
        <w:spacing w:after="0" w:line="480" w:lineRule="auto"/>
        <w:rPr>
          <w:rFonts w:ascii="Times New Roman" w:hAnsi="Times New Roman"/>
          <w:szCs w:val="24"/>
        </w:rPr>
      </w:pPr>
      <w:r w:rsidRPr="002D1226">
        <w:rPr>
          <w:rFonts w:ascii="Times New Roman" w:hAnsi="Times New Roman"/>
          <w:szCs w:val="24"/>
          <w:vertAlign w:val="superscript"/>
        </w:rPr>
        <w:t>*</w:t>
      </w:r>
      <w:r w:rsidRPr="002D1226">
        <w:rPr>
          <w:rFonts w:ascii="Times New Roman" w:hAnsi="Times New Roman"/>
          <w:szCs w:val="24"/>
        </w:rPr>
        <w:t>Cox proportional hazard models including age, and sex as covariates</w:t>
      </w:r>
    </w:p>
    <w:p w14:paraId="6EF70EF6" w14:textId="77777777" w:rsidR="00876C49" w:rsidRPr="002D1226" w:rsidRDefault="00876C49" w:rsidP="00876C49">
      <w:pPr>
        <w:spacing w:after="0" w:line="480" w:lineRule="auto"/>
        <w:rPr>
          <w:rFonts w:ascii="Times New Roman" w:hAnsi="Times New Roman"/>
          <w:szCs w:val="24"/>
        </w:rPr>
      </w:pPr>
      <w:r w:rsidRPr="002D1226">
        <w:rPr>
          <w:rFonts w:ascii="Times New Roman" w:hAnsi="Times New Roman"/>
          <w:szCs w:val="24"/>
          <w:vertAlign w:val="superscript"/>
        </w:rPr>
        <w:t>†</w:t>
      </w:r>
      <w:r w:rsidRPr="002D1226">
        <w:rPr>
          <w:rFonts w:ascii="Times New Roman" w:hAnsi="Times New Roman"/>
          <w:szCs w:val="24"/>
        </w:rPr>
        <w:t xml:space="preserve">Cox proportional hazard models including age, sex, and clinical characteristics, of which association with new onset </w:t>
      </w:r>
      <w:r>
        <w:rPr>
          <w:rFonts w:ascii="Times New Roman" w:hAnsi="Times New Roman"/>
          <w:szCs w:val="24"/>
        </w:rPr>
        <w:t>heart failure</w:t>
      </w:r>
      <w:r w:rsidRPr="002D1226">
        <w:rPr>
          <w:rFonts w:ascii="Times New Roman" w:hAnsi="Times New Roman"/>
          <w:szCs w:val="24"/>
        </w:rPr>
        <w:t xml:space="preserve"> showed borderline statistical significance (P &lt; 0.100)</w:t>
      </w:r>
    </w:p>
    <w:p w14:paraId="1705EA95" w14:textId="77777777" w:rsidR="00876C49" w:rsidRPr="002D1226" w:rsidRDefault="00876C49" w:rsidP="00876C49">
      <w:pPr>
        <w:spacing w:after="0" w:line="480" w:lineRule="auto"/>
        <w:contextualSpacing/>
        <w:rPr>
          <w:rFonts w:ascii="Times New Roman" w:eastAsia="Malgun Gothic" w:hAnsi="Times New Roman" w:cstheme="minorBidi"/>
          <w:color w:val="000000"/>
          <w:kern w:val="0"/>
          <w:szCs w:val="20"/>
        </w:rPr>
      </w:pPr>
      <w:r w:rsidRPr="002D1226">
        <w:rPr>
          <w:rFonts w:ascii="Times New Roman" w:eastAsia="Malgun Gothic" w:hAnsi="Times New Roman" w:cstheme="minorBidi"/>
          <w:color w:val="000000"/>
          <w:kern w:val="0"/>
          <w:szCs w:val="20"/>
          <w:vertAlign w:val="superscript"/>
        </w:rPr>
        <w:t>‡</w:t>
      </w:r>
      <w:r w:rsidRPr="002D1226">
        <w:rPr>
          <w:rFonts w:ascii="Times New Roman" w:eastAsia="Malgun Gothic" w:hAnsi="Times New Roman" w:cstheme="minorBidi"/>
          <w:color w:val="000000"/>
          <w:kern w:val="0"/>
          <w:szCs w:val="20"/>
        </w:rPr>
        <w:t>Low probability: 0 ≤ FLI &lt; 25 for male, 0 ≤ FLI &lt; 10 for female; intermediate probability: 25 ≤ FLI &lt; 35 for male, 10 ≤ FLI &lt; 20 for female; high probability: FLI ≥ 35 for male, FLI ≥ 20 for female</w:t>
      </w:r>
    </w:p>
    <w:p w14:paraId="5905094E" w14:textId="77777777" w:rsidR="00876C49" w:rsidRPr="002D1226" w:rsidRDefault="00876C49" w:rsidP="00876C49">
      <w:pPr>
        <w:spacing w:after="0" w:line="480" w:lineRule="auto"/>
        <w:rPr>
          <w:rFonts w:ascii="Times New Roman" w:hAnsi="Times New Roman"/>
          <w:szCs w:val="24"/>
        </w:rPr>
      </w:pPr>
      <w:r w:rsidRPr="002D1226">
        <w:rPr>
          <w:rFonts w:ascii="Times New Roman" w:hAnsi="Times New Roman"/>
          <w:szCs w:val="24"/>
        </w:rPr>
        <w:lastRenderedPageBreak/>
        <w:t xml:space="preserve">CI: confidential interval, </w:t>
      </w:r>
      <w:r w:rsidRPr="002D1226">
        <w:rPr>
          <w:rFonts w:ascii="Times New Roman" w:hAnsi="Times New Roman" w:hint="eastAsia"/>
          <w:szCs w:val="24"/>
        </w:rPr>
        <w:t>F</w:t>
      </w:r>
      <w:r w:rsidRPr="002D1226">
        <w:rPr>
          <w:rFonts w:ascii="Times New Roman" w:hAnsi="Times New Roman"/>
          <w:szCs w:val="24"/>
        </w:rPr>
        <w:t xml:space="preserve">LI: fatty liver index, HR: hazard ratio </w:t>
      </w:r>
    </w:p>
    <w:p w14:paraId="3142D180" w14:textId="77777777" w:rsidR="00876C49" w:rsidRPr="002D1226" w:rsidRDefault="00876C49" w:rsidP="00876C49">
      <w:pPr>
        <w:spacing w:after="0" w:line="480" w:lineRule="auto"/>
        <w:rPr>
          <w:rFonts w:ascii="Times New Roman" w:hAnsi="Times New Roman"/>
          <w:szCs w:val="24"/>
        </w:rPr>
      </w:pPr>
    </w:p>
    <w:p w14:paraId="6B6BDF02" w14:textId="77777777" w:rsidR="00876C49" w:rsidRPr="002D1226" w:rsidRDefault="00876C49" w:rsidP="00876C49">
      <w:pPr>
        <w:spacing w:after="0" w:line="480" w:lineRule="auto"/>
        <w:rPr>
          <w:rFonts w:ascii="Times New Roman" w:hAnsi="Times New Roman"/>
          <w:szCs w:val="24"/>
        </w:rPr>
      </w:pPr>
    </w:p>
    <w:p w14:paraId="245742D2" w14:textId="77777777" w:rsidR="00876C49" w:rsidRPr="002D1226" w:rsidRDefault="00876C49" w:rsidP="00876C49">
      <w:pPr>
        <w:spacing w:after="0" w:line="240" w:lineRule="auto"/>
        <w:rPr>
          <w:rFonts w:ascii="Times New Roman" w:hAnsi="Times New Roman"/>
          <w:szCs w:val="24"/>
        </w:rPr>
      </w:pPr>
    </w:p>
    <w:p w14:paraId="05E5BEB6" w14:textId="77777777" w:rsidR="003517B1" w:rsidRDefault="003517B1">
      <w:bookmarkStart w:id="0" w:name="_GoBack"/>
      <w:bookmarkEnd w:id="0"/>
    </w:p>
    <w:sectPr w:rsidR="003517B1" w:rsidSect="00876C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49"/>
    <w:rsid w:val="000731CB"/>
    <w:rsid w:val="00275F92"/>
    <w:rsid w:val="0029568F"/>
    <w:rsid w:val="00317F7C"/>
    <w:rsid w:val="003517B1"/>
    <w:rsid w:val="0060409E"/>
    <w:rsid w:val="00615B5F"/>
    <w:rsid w:val="00783965"/>
    <w:rsid w:val="00876C49"/>
    <w:rsid w:val="00950ED0"/>
    <w:rsid w:val="009D7BE2"/>
    <w:rsid w:val="00A11F89"/>
    <w:rsid w:val="00A4604F"/>
    <w:rsid w:val="00A571C8"/>
    <w:rsid w:val="00A57C61"/>
    <w:rsid w:val="00B43DCD"/>
    <w:rsid w:val="00C32A2C"/>
    <w:rsid w:val="00CA4D41"/>
    <w:rsid w:val="00CB143C"/>
    <w:rsid w:val="00C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52A6"/>
  <w15:chartTrackingRefBased/>
  <w15:docId w15:val="{E9CB72B6-A282-4D3A-A46D-B87C96D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49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 w:cs="Times New Roman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qFormat/>
    <w:rsid w:val="00A571C8"/>
    <w:rPr>
      <w:rFonts w:ascii="Times New Roman" w:eastAsiaTheme="majorEastAsia" w:hAnsi="Times New Roman"/>
      <w:kern w:val="0"/>
      <w:sz w:val="24"/>
      <w:lang w:val="en-GB" w:eastAsia="en-US"/>
    </w:rPr>
  </w:style>
  <w:style w:type="table" w:styleId="TableGrid">
    <w:name w:val="Table Grid"/>
    <w:basedOn w:val="TableNormal"/>
    <w:uiPriority w:val="39"/>
    <w:rsid w:val="00876C49"/>
    <w:pPr>
      <w:spacing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Formatting Specialist  </dc:creator>
  <cp:keywords/>
  <dc:description/>
  <cp:lastModifiedBy>Academic Formatting Specialist  </cp:lastModifiedBy>
  <cp:revision>1</cp:revision>
  <dcterms:created xsi:type="dcterms:W3CDTF">2019-11-20T20:12:00Z</dcterms:created>
  <dcterms:modified xsi:type="dcterms:W3CDTF">2019-11-20T20:12:00Z</dcterms:modified>
</cp:coreProperties>
</file>