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C" w:rsidRDefault="00242DE6">
      <w:r>
        <w:t xml:space="preserve">                       </w:t>
      </w:r>
      <w:r w:rsidRPr="00242DE6">
        <w:drawing>
          <wp:inline distT="0" distB="0" distL="0" distR="0">
            <wp:extent cx="3924797" cy="2138901"/>
            <wp:effectExtent l="19050" t="0" r="18553" b="0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42DE6" w:rsidRPr="00F81DBF" w:rsidRDefault="00242DE6" w:rsidP="00242DE6">
      <w:pPr>
        <w:autoSpaceDE w:val="0"/>
        <w:autoSpaceDN w:val="0"/>
        <w:adjustRightInd w:val="0"/>
        <w:spacing w:after="0" w:line="36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S6: Calibration curve of saponins</w:t>
      </w:r>
    </w:p>
    <w:p w:rsidR="00242DE6" w:rsidRDefault="00242DE6"/>
    <w:sectPr w:rsidR="00242DE6" w:rsidSect="00A9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2DE6"/>
    <w:rsid w:val="00242DE6"/>
    <w:rsid w:val="00A9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\Desktop\all%20files\introduction%20writing\project%20writing\chapter%205\Quantitative%20test%20graphs\saponin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/>
            </a:pPr>
            <a:r>
              <a:rPr lang="en-IN" sz="1400">
                <a:latin typeface="Times New Roman" pitchFamily="18" charset="0"/>
                <a:cs typeface="Times New Roman" pitchFamily="18" charset="0"/>
              </a:rPr>
              <a:t>Diosgenin</a:t>
            </a:r>
          </a:p>
        </c:rich>
      </c:tx>
      <c:overlay val="1"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0791284237121104"/>
                  <c:y val="0.35880576052842184"/>
                </c:manualLayout>
              </c:layout>
              <c:tx>
                <c:rich>
                  <a:bodyPr/>
                  <a:lstStyle/>
                  <a:p>
                    <a:pPr>
                      <a:defRPr lang="en-IN"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baseline="0"/>
                      <a:t>y = 0.0005x-0.042
R² = 0.9983</a:t>
                    </a:r>
                    <a:endParaRPr/>
                  </a:p>
                </c:rich>
              </c:tx>
              <c:numFmt formatCode="General" sourceLinked="0"/>
            </c:trendlineLbl>
          </c:trendline>
          <c:xVal>
            <c:numRef>
              <c:f>Sheet1!$F$5:$F$9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xVal>
          <c:yVal>
            <c:numRef>
              <c:f>Sheet1!$G$5:$G$9</c:f>
              <c:numCache>
                <c:formatCode>General</c:formatCode>
                <c:ptCount val="5"/>
                <c:pt idx="0">
                  <c:v>1.0000000000000005E-2</c:v>
                </c:pt>
                <c:pt idx="1">
                  <c:v>0.05</c:v>
                </c:pt>
                <c:pt idx="2">
                  <c:v>0.1</c:v>
                </c:pt>
                <c:pt idx="3">
                  <c:v>0.15000000000000024</c:v>
                </c:pt>
                <c:pt idx="4">
                  <c:v>0.2</c:v>
                </c:pt>
              </c:numCache>
            </c:numRef>
          </c:yVal>
        </c:ser>
        <c:axId val="130476288"/>
        <c:axId val="130494848"/>
      </c:scatterChart>
      <c:valAx>
        <c:axId val="130476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IN" sz="120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sz="1200" baseline="0">
                    <a:latin typeface="Times New Roman" pitchFamily="18" charset="0"/>
                    <a:cs typeface="Times New Roman" pitchFamily="18" charset="0"/>
                  </a:rPr>
                  <a:t> (µg/ml)</a:t>
                </a:r>
                <a:endParaRPr lang="en-IN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30494848"/>
        <c:crosses val="autoZero"/>
        <c:crossBetween val="midCat"/>
      </c:valAx>
      <c:valAx>
        <c:axId val="1304948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IN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IN" sz="1200">
                    <a:latin typeface="Times New Roman" pitchFamily="18" charset="0"/>
                    <a:cs typeface="Times New Roman" pitchFamily="18" charset="0"/>
                  </a:rPr>
                  <a:t>Absorbance</a:t>
                </a:r>
                <a:r>
                  <a:rPr lang="en-IN" sz="1200" baseline="0">
                    <a:latin typeface="Times New Roman" pitchFamily="18" charset="0"/>
                    <a:cs typeface="Times New Roman" pitchFamily="18" charset="0"/>
                  </a:rPr>
                  <a:t> (544 nm)</a:t>
                </a:r>
                <a:endParaRPr lang="en-IN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3047628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2019-10-18T09:05:00Z</dcterms:created>
  <dcterms:modified xsi:type="dcterms:W3CDTF">2019-10-18T09:06:00Z</dcterms:modified>
</cp:coreProperties>
</file>