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1" w:rsidRDefault="00CA2D2B">
      <w:r>
        <w:t xml:space="preserve">      </w:t>
      </w:r>
      <w:r w:rsidRPr="00CA2D2B">
        <w:rPr>
          <w:noProof/>
          <w:lang w:eastAsia="en-IN"/>
        </w:rPr>
        <w:drawing>
          <wp:inline distT="0" distB="0" distL="0" distR="0">
            <wp:extent cx="4586665" cy="1570007"/>
            <wp:effectExtent l="19050" t="0" r="23435" b="0"/>
            <wp:docPr id="6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B7E0D" w:rsidRPr="00D52F32" w:rsidRDefault="007B7E0D" w:rsidP="007B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3D4E">
        <w:rPr>
          <w:rFonts w:ascii="Times New Roman" w:hAnsi="Times New Roman" w:cs="Times New Roman"/>
          <w:b/>
          <w:sz w:val="24"/>
          <w:szCs w:val="24"/>
        </w:rPr>
        <w:t xml:space="preserve"> S17</w:t>
      </w:r>
      <w:r w:rsidR="00CA2D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2D2B" w:rsidRPr="00D52F32">
        <w:rPr>
          <w:rFonts w:ascii="Times New Roman" w:hAnsi="Times New Roman" w:cs="Times New Roman"/>
          <w:b/>
          <w:sz w:val="24"/>
          <w:szCs w:val="24"/>
        </w:rPr>
        <w:t xml:space="preserve">Nitric oxide scavenging activity of </w:t>
      </w:r>
      <w:r w:rsidRPr="00D5141F">
        <w:rPr>
          <w:rFonts w:ascii="Times New Roman" w:hAnsi="Times New Roman" w:cs="Times New Roman"/>
          <w:b/>
          <w:i/>
          <w:sz w:val="24"/>
          <w:szCs w:val="24"/>
        </w:rPr>
        <w:t>Curvularia aeria</w:t>
      </w:r>
      <w:r>
        <w:rPr>
          <w:rFonts w:ascii="Times New Roman" w:hAnsi="Times New Roman" w:cs="Times New Roman"/>
          <w:b/>
          <w:sz w:val="24"/>
          <w:szCs w:val="24"/>
        </w:rPr>
        <w:t xml:space="preserve"> MTCC-</w:t>
      </w:r>
      <w:r w:rsidRPr="00D5141F">
        <w:rPr>
          <w:rFonts w:ascii="Times New Roman" w:hAnsi="Times New Roman" w:cs="Times New Roman"/>
          <w:b/>
          <w:sz w:val="24"/>
          <w:szCs w:val="24"/>
        </w:rPr>
        <w:t>12847</w:t>
      </w:r>
    </w:p>
    <w:p w:rsidR="00CA2D2B" w:rsidRDefault="00CA2D2B" w:rsidP="007B7E0D">
      <w:pPr>
        <w:autoSpaceDE w:val="0"/>
        <w:autoSpaceDN w:val="0"/>
        <w:adjustRightInd w:val="0"/>
        <w:spacing w:after="0" w:line="360" w:lineRule="auto"/>
        <w:jc w:val="both"/>
      </w:pPr>
    </w:p>
    <w:sectPr w:rsidR="00CA2D2B" w:rsidSect="004D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2D2B"/>
    <w:rsid w:val="004D2A21"/>
    <w:rsid w:val="007B7E0D"/>
    <w:rsid w:val="00A86DC6"/>
    <w:rsid w:val="00B33D4E"/>
    <w:rsid w:val="00CA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\Desktop\all%20files\introduction%20writing\project%20writing\chapter%206\Antioxidant%20calculations\Nitric%20oxi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lineChart>
        <c:grouping val="standard"/>
        <c:ser>
          <c:idx val="0"/>
          <c:order val="0"/>
          <c:tx>
            <c:strRef>
              <c:f>Sheet2!$E$28</c:f>
              <c:strCache>
                <c:ptCount val="1"/>
                <c:pt idx="0">
                  <c:v>Ethyl acetate  Extract</c:v>
                </c:pt>
              </c:strCache>
            </c:strRef>
          </c:tx>
          <c:cat>
            <c:numRef>
              <c:f>Sheet2!$D$29:$D$33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Sheet2!$E$29:$E$33</c:f>
              <c:numCache>
                <c:formatCode>General</c:formatCode>
                <c:ptCount val="5"/>
                <c:pt idx="0">
                  <c:v>33</c:v>
                </c:pt>
                <c:pt idx="1">
                  <c:v>42</c:v>
                </c:pt>
                <c:pt idx="2">
                  <c:v>51</c:v>
                </c:pt>
                <c:pt idx="3">
                  <c:v>63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Sheet2!$F$28</c:f>
              <c:strCache>
                <c:ptCount val="1"/>
                <c:pt idx="0">
                  <c:v>Methanol Extract </c:v>
                </c:pt>
              </c:strCache>
            </c:strRef>
          </c:tx>
          <c:cat>
            <c:numRef>
              <c:f>Sheet2!$D$29:$D$33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Sheet2!$F$29:$F$33</c:f>
              <c:numCache>
                <c:formatCode>General</c:formatCode>
                <c:ptCount val="5"/>
                <c:pt idx="0">
                  <c:v>32</c:v>
                </c:pt>
                <c:pt idx="1">
                  <c:v>40</c:v>
                </c:pt>
                <c:pt idx="2">
                  <c:v>50</c:v>
                </c:pt>
                <c:pt idx="3">
                  <c:v>62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Sheet2!$G$28</c:f>
              <c:strCache>
                <c:ptCount val="1"/>
                <c:pt idx="0">
                  <c:v>Chloroform Extract</c:v>
                </c:pt>
              </c:strCache>
            </c:strRef>
          </c:tx>
          <c:cat>
            <c:numRef>
              <c:f>Sheet2!$D$29:$D$33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Sheet2!$G$29:$G$33</c:f>
              <c:numCache>
                <c:formatCode>General</c:formatCode>
                <c:ptCount val="5"/>
                <c:pt idx="0">
                  <c:v>20</c:v>
                </c:pt>
                <c:pt idx="1">
                  <c:v>31</c:v>
                </c:pt>
                <c:pt idx="2">
                  <c:v>39</c:v>
                </c:pt>
                <c:pt idx="3">
                  <c:v>48</c:v>
                </c:pt>
                <c:pt idx="4">
                  <c:v>55</c:v>
                </c:pt>
              </c:numCache>
            </c:numRef>
          </c:val>
        </c:ser>
        <c:ser>
          <c:idx val="3"/>
          <c:order val="3"/>
          <c:tx>
            <c:strRef>
              <c:f>Sheet2!$H$28</c:f>
              <c:strCache>
                <c:ptCount val="1"/>
                <c:pt idx="0">
                  <c:v>Ascorbic acid </c:v>
                </c:pt>
              </c:strCache>
            </c:strRef>
          </c:tx>
          <c:cat>
            <c:numRef>
              <c:f>Sheet2!$D$29:$D$33</c:f>
              <c:numCache>
                <c:formatCode>General</c:formatCod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</c:numCache>
            </c:numRef>
          </c:cat>
          <c:val>
            <c:numRef>
              <c:f>Sheet2!$H$29:$H$33</c:f>
              <c:numCache>
                <c:formatCode>General</c:formatCode>
                <c:ptCount val="5"/>
                <c:pt idx="0">
                  <c:v>40</c:v>
                </c:pt>
                <c:pt idx="1">
                  <c:v>52</c:v>
                </c:pt>
                <c:pt idx="2">
                  <c:v>63</c:v>
                </c:pt>
                <c:pt idx="3">
                  <c:v>71</c:v>
                </c:pt>
                <c:pt idx="4">
                  <c:v>80</c:v>
                </c:pt>
              </c:numCache>
            </c:numRef>
          </c:val>
        </c:ser>
        <c:marker val="1"/>
        <c:axId val="75095424"/>
        <c:axId val="90383104"/>
      </c:lineChart>
      <c:catAx>
        <c:axId val="75095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IN" baseline="0">
                    <a:latin typeface="Times New Roman" pitchFamily="18" charset="0"/>
                    <a:cs typeface="Times New Roman" pitchFamily="18" charset="0"/>
                  </a:rPr>
                  <a:t> (µg/ml)</a:t>
                </a:r>
                <a:endParaRPr lang="en-IN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0383104"/>
        <c:crosses val="autoZero"/>
        <c:auto val="1"/>
        <c:lblAlgn val="ctr"/>
        <c:lblOffset val="100"/>
      </c:catAx>
      <c:valAx>
        <c:axId val="903831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>
                    <a:latin typeface="Times New Roman" pitchFamily="18" charset="0"/>
                    <a:cs typeface="Times New Roman" pitchFamily="18" charset="0"/>
                  </a:rPr>
                  <a:t>Inhibition</a:t>
                </a:r>
                <a:r>
                  <a:rPr lang="en-IN" baseline="0">
                    <a:latin typeface="Times New Roman" pitchFamily="18" charset="0"/>
                    <a:cs typeface="Times New Roman" pitchFamily="18" charset="0"/>
                  </a:rPr>
                  <a:t> %</a:t>
                </a:r>
                <a:endParaRPr lang="en-IN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50954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2019-10-18T16:00:00Z</dcterms:created>
  <dcterms:modified xsi:type="dcterms:W3CDTF">2019-10-20T14:44:00Z</dcterms:modified>
</cp:coreProperties>
</file>