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1" w:rsidRDefault="00C01A5C">
      <w:r>
        <w:t xml:space="preserve">    </w:t>
      </w:r>
      <w:r w:rsidR="00191AAD" w:rsidRPr="00191AAD">
        <w:rPr>
          <w:noProof/>
          <w:lang w:eastAsia="en-IN"/>
        </w:rPr>
        <w:drawing>
          <wp:inline distT="0" distB="0" distL="0" distR="0">
            <wp:extent cx="4948969" cy="1669774"/>
            <wp:effectExtent l="19050" t="0" r="23081" b="6626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1AAD" w:rsidRPr="00D52F32" w:rsidRDefault="007E7F3E" w:rsidP="00191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9DB">
        <w:rPr>
          <w:rFonts w:ascii="Times New Roman" w:hAnsi="Times New Roman" w:cs="Times New Roman"/>
          <w:b/>
          <w:sz w:val="24"/>
          <w:szCs w:val="24"/>
        </w:rPr>
        <w:t>S15</w:t>
      </w:r>
      <w:r w:rsidR="00191A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AAD" w:rsidRPr="00D52F32">
        <w:rPr>
          <w:rFonts w:ascii="Times New Roman" w:hAnsi="Times New Roman" w:cs="Times New Roman"/>
          <w:b/>
          <w:sz w:val="24"/>
          <w:szCs w:val="24"/>
        </w:rPr>
        <w:t xml:space="preserve">Hydrogen </w:t>
      </w:r>
      <w:r>
        <w:rPr>
          <w:rFonts w:ascii="Times New Roman" w:hAnsi="Times New Roman" w:cs="Times New Roman"/>
          <w:b/>
          <w:sz w:val="24"/>
          <w:szCs w:val="24"/>
        </w:rPr>
        <w:t xml:space="preserve">peroxide scavenging assay of </w:t>
      </w:r>
      <w:r w:rsidRPr="00D5141F">
        <w:rPr>
          <w:rFonts w:ascii="Times New Roman" w:hAnsi="Times New Roman" w:cs="Times New Roman"/>
          <w:b/>
          <w:i/>
          <w:sz w:val="24"/>
          <w:szCs w:val="24"/>
        </w:rPr>
        <w:t>Curvularia aeria</w:t>
      </w:r>
      <w:r w:rsidR="001D7A1B">
        <w:rPr>
          <w:rFonts w:ascii="Times New Roman" w:hAnsi="Times New Roman" w:cs="Times New Roman"/>
          <w:b/>
          <w:sz w:val="24"/>
          <w:szCs w:val="24"/>
        </w:rPr>
        <w:t xml:space="preserve"> MTCC-</w:t>
      </w:r>
      <w:r w:rsidRPr="00D5141F">
        <w:rPr>
          <w:rFonts w:ascii="Times New Roman" w:hAnsi="Times New Roman" w:cs="Times New Roman"/>
          <w:b/>
          <w:sz w:val="24"/>
          <w:szCs w:val="24"/>
        </w:rPr>
        <w:t>12847</w:t>
      </w:r>
    </w:p>
    <w:p w:rsidR="00191AAD" w:rsidRDefault="00191AAD"/>
    <w:sectPr w:rsidR="00191AAD" w:rsidSect="004D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91AAD"/>
    <w:rsid w:val="00191AAD"/>
    <w:rsid w:val="001D7A1B"/>
    <w:rsid w:val="004D2A21"/>
    <w:rsid w:val="007E7F3E"/>
    <w:rsid w:val="00B40CDF"/>
    <w:rsid w:val="00C01A5C"/>
    <w:rsid w:val="00CA5C73"/>
    <w:rsid w:val="00D0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\Desktop\all%20files\introduction%20writing\project%20writing\chapter%206\Antioxidant%20calculations\hydrogen%20peroxi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lineChart>
        <c:grouping val="standard"/>
        <c:ser>
          <c:idx val="0"/>
          <c:order val="0"/>
          <c:tx>
            <c:strRef>
              <c:f>Sheet1!$F$23</c:f>
              <c:strCache>
                <c:ptCount val="1"/>
                <c:pt idx="0">
                  <c:v>Ethyl acetate  Extract</c:v>
                </c:pt>
              </c:strCache>
            </c:strRef>
          </c:tx>
          <c:cat>
            <c:numRef>
              <c:f>Sheet1!$E$24:$E$28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Sheet1!$F$24:$F$28</c:f>
              <c:numCache>
                <c:formatCode>General</c:formatCode>
                <c:ptCount val="5"/>
                <c:pt idx="0">
                  <c:v>30</c:v>
                </c:pt>
                <c:pt idx="1">
                  <c:v>45</c:v>
                </c:pt>
                <c:pt idx="2">
                  <c:v>55</c:v>
                </c:pt>
                <c:pt idx="3">
                  <c:v>66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Sheet1!$G$23</c:f>
              <c:strCache>
                <c:ptCount val="1"/>
                <c:pt idx="0">
                  <c:v>Methanol Extract </c:v>
                </c:pt>
              </c:strCache>
            </c:strRef>
          </c:tx>
          <c:cat>
            <c:numRef>
              <c:f>Sheet1!$E$24:$E$28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Sheet1!$G$24:$G$28</c:f>
              <c:numCache>
                <c:formatCode>General</c:formatCode>
                <c:ptCount val="5"/>
                <c:pt idx="0">
                  <c:v>28</c:v>
                </c:pt>
                <c:pt idx="1">
                  <c:v>44</c:v>
                </c:pt>
                <c:pt idx="2">
                  <c:v>54</c:v>
                </c:pt>
                <c:pt idx="3">
                  <c:v>65</c:v>
                </c:pt>
                <c:pt idx="4">
                  <c:v>76</c:v>
                </c:pt>
              </c:numCache>
            </c:numRef>
          </c:val>
        </c:ser>
        <c:ser>
          <c:idx val="2"/>
          <c:order val="2"/>
          <c:tx>
            <c:strRef>
              <c:f>Sheet1!$H$23</c:f>
              <c:strCache>
                <c:ptCount val="1"/>
                <c:pt idx="0">
                  <c:v>Chloroform Extract</c:v>
                </c:pt>
              </c:strCache>
            </c:strRef>
          </c:tx>
          <c:cat>
            <c:numRef>
              <c:f>Sheet1!$E$24:$E$28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Sheet1!$H$24:$H$28</c:f>
              <c:numCache>
                <c:formatCode>General</c:formatCode>
                <c:ptCount val="5"/>
                <c:pt idx="0">
                  <c:v>19</c:v>
                </c:pt>
                <c:pt idx="1">
                  <c:v>31</c:v>
                </c:pt>
                <c:pt idx="2">
                  <c:v>40</c:v>
                </c:pt>
                <c:pt idx="3">
                  <c:v>51</c:v>
                </c:pt>
                <c:pt idx="4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Sheet1!$I$23</c:f>
              <c:strCache>
                <c:ptCount val="1"/>
                <c:pt idx="0">
                  <c:v>Ascorbic acid </c:v>
                </c:pt>
              </c:strCache>
            </c:strRef>
          </c:tx>
          <c:cat>
            <c:numRef>
              <c:f>Sheet1!$E$24:$E$28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Sheet1!$I$24:$I$28</c:f>
              <c:numCache>
                <c:formatCode>General</c:formatCode>
                <c:ptCount val="5"/>
                <c:pt idx="0">
                  <c:v>35</c:v>
                </c:pt>
                <c:pt idx="1">
                  <c:v>48</c:v>
                </c:pt>
                <c:pt idx="2">
                  <c:v>59</c:v>
                </c:pt>
                <c:pt idx="3">
                  <c:v>68</c:v>
                </c:pt>
                <c:pt idx="4">
                  <c:v>80</c:v>
                </c:pt>
              </c:numCache>
            </c:numRef>
          </c:val>
        </c:ser>
        <c:marker val="1"/>
        <c:axId val="55054720"/>
        <c:axId val="55056640"/>
      </c:lineChart>
      <c:catAx>
        <c:axId val="5505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(µg/ml)</a:t>
                </a:r>
                <a:endParaRPr lang="en-IN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5056640"/>
        <c:crosses val="autoZero"/>
        <c:auto val="1"/>
        <c:lblAlgn val="ctr"/>
        <c:lblOffset val="100"/>
      </c:catAx>
      <c:valAx>
        <c:axId val="5505664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Inhibition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%</a:t>
                </a:r>
                <a:endParaRPr lang="en-IN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50547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6</cp:revision>
  <dcterms:created xsi:type="dcterms:W3CDTF">2019-10-18T15:42:00Z</dcterms:created>
  <dcterms:modified xsi:type="dcterms:W3CDTF">2019-10-20T14:43:00Z</dcterms:modified>
</cp:coreProperties>
</file>